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B684" w14:textId="2821A45C" w:rsidR="00F26B3C" w:rsidRPr="00AB7B5C" w:rsidRDefault="00F26B3C" w:rsidP="00BE3625">
      <w:pPr>
        <w:jc w:val="center"/>
        <w:rPr>
          <w:rFonts w:cstheme="minorHAnsi"/>
          <w:b/>
          <w:bCs/>
        </w:rPr>
      </w:pPr>
      <w:r w:rsidRPr="00AB7B5C">
        <w:rPr>
          <w:rFonts w:cstheme="minorHAnsi"/>
          <w:b/>
          <w:bCs/>
        </w:rPr>
        <w:t>Child Fatality Prevention System Summit</w:t>
      </w:r>
      <w:r w:rsidR="00864DD4" w:rsidRPr="00AB7B5C">
        <w:rPr>
          <w:rFonts w:cstheme="minorHAnsi"/>
          <w:b/>
          <w:bCs/>
        </w:rPr>
        <w:t xml:space="preserve"> Agenda</w:t>
      </w:r>
    </w:p>
    <w:p w14:paraId="5C48EB2A" w14:textId="747296C0" w:rsidR="00F26B3C" w:rsidRPr="00AB7B5C" w:rsidRDefault="00F26B3C" w:rsidP="00F26B3C">
      <w:pPr>
        <w:jc w:val="center"/>
        <w:rPr>
          <w:rFonts w:cstheme="minorHAnsi"/>
          <w:b/>
          <w:bCs/>
        </w:rPr>
      </w:pPr>
    </w:p>
    <w:p w14:paraId="2543DCCF" w14:textId="377ABF80" w:rsidR="00F26B3C" w:rsidRPr="00AB7B5C" w:rsidRDefault="00F26B3C" w:rsidP="00F26B3C">
      <w:pPr>
        <w:jc w:val="center"/>
        <w:rPr>
          <w:rFonts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1795"/>
        <w:gridCol w:w="6660"/>
        <w:gridCol w:w="2160"/>
      </w:tblGrid>
      <w:tr w:rsidR="00322DC7" w:rsidRPr="00AB7B5C" w14:paraId="154B27D3" w14:textId="42E2FEF2" w:rsidTr="00127A29">
        <w:trPr>
          <w:tblHeader/>
        </w:trPr>
        <w:tc>
          <w:tcPr>
            <w:tcW w:w="1795" w:type="dxa"/>
            <w:tcBorders>
              <w:bottom w:val="single" w:sz="4" w:space="0" w:color="auto"/>
            </w:tcBorders>
          </w:tcPr>
          <w:p w14:paraId="425BC6A9" w14:textId="216DB7ED" w:rsidR="00322DC7" w:rsidRPr="00AB7B5C" w:rsidRDefault="00322DC7" w:rsidP="00127A29">
            <w:pPr>
              <w:jc w:val="center"/>
              <w:rPr>
                <w:rFonts w:cstheme="minorHAnsi"/>
                <w:b/>
                <w:bCs/>
              </w:rPr>
            </w:pPr>
            <w:bookmarkStart w:id="0" w:name="_Hlk126825694"/>
            <w:r w:rsidRPr="00AB7B5C">
              <w:rPr>
                <w:rFonts w:cstheme="minorHAnsi"/>
                <w:b/>
                <w:bCs/>
                <w:sz w:val="28"/>
                <w:szCs w:val="28"/>
              </w:rPr>
              <w:t>TIME</w:t>
            </w:r>
          </w:p>
        </w:tc>
        <w:tc>
          <w:tcPr>
            <w:tcW w:w="6660" w:type="dxa"/>
            <w:tcBorders>
              <w:bottom w:val="single" w:sz="4" w:space="0" w:color="auto"/>
            </w:tcBorders>
          </w:tcPr>
          <w:p w14:paraId="78AE3F59" w14:textId="58850D61" w:rsidR="00322DC7" w:rsidRPr="00AB7B5C" w:rsidRDefault="00322DC7" w:rsidP="00127A29">
            <w:pPr>
              <w:jc w:val="center"/>
              <w:rPr>
                <w:rFonts w:cstheme="minorHAnsi"/>
                <w:b/>
                <w:bCs/>
              </w:rPr>
            </w:pPr>
            <w:r w:rsidRPr="00AB7B5C">
              <w:rPr>
                <w:rFonts w:cstheme="minorHAnsi"/>
                <w:b/>
                <w:bCs/>
                <w:sz w:val="28"/>
                <w:szCs w:val="28"/>
              </w:rPr>
              <w:t>SESSION</w:t>
            </w:r>
          </w:p>
        </w:tc>
        <w:tc>
          <w:tcPr>
            <w:tcW w:w="2160" w:type="dxa"/>
            <w:tcBorders>
              <w:bottom w:val="single" w:sz="4" w:space="0" w:color="auto"/>
            </w:tcBorders>
          </w:tcPr>
          <w:p w14:paraId="3F90138F" w14:textId="4DD4B90D" w:rsidR="00322DC7" w:rsidRPr="00AB7B5C" w:rsidRDefault="00322DC7" w:rsidP="00127A29">
            <w:pPr>
              <w:jc w:val="center"/>
              <w:rPr>
                <w:rFonts w:cstheme="minorHAnsi"/>
                <w:b/>
                <w:bCs/>
              </w:rPr>
            </w:pPr>
            <w:r w:rsidRPr="00AB7B5C">
              <w:rPr>
                <w:rFonts w:cstheme="minorHAnsi"/>
                <w:b/>
                <w:bCs/>
                <w:sz w:val="28"/>
                <w:szCs w:val="28"/>
              </w:rPr>
              <w:t>Room</w:t>
            </w:r>
          </w:p>
        </w:tc>
      </w:tr>
      <w:tr w:rsidR="00322DC7" w:rsidRPr="00AB7B5C" w14:paraId="085A8A4D" w14:textId="60346A1F" w:rsidTr="00127A29">
        <w:tc>
          <w:tcPr>
            <w:tcW w:w="1795" w:type="dxa"/>
            <w:shd w:val="clear" w:color="auto" w:fill="D9E2F3" w:themeFill="accent1" w:themeFillTint="33"/>
          </w:tcPr>
          <w:p w14:paraId="36C7CB04" w14:textId="44512C29" w:rsidR="00322DC7" w:rsidRPr="00AB7B5C" w:rsidRDefault="00322DC7" w:rsidP="00127A29">
            <w:pPr>
              <w:jc w:val="center"/>
              <w:rPr>
                <w:rFonts w:cstheme="minorHAnsi"/>
              </w:rPr>
            </w:pPr>
            <w:r w:rsidRPr="00AB7B5C">
              <w:rPr>
                <w:rFonts w:cstheme="minorHAnsi"/>
              </w:rPr>
              <w:t>8:30 – 9:00</w:t>
            </w:r>
          </w:p>
        </w:tc>
        <w:tc>
          <w:tcPr>
            <w:tcW w:w="6660" w:type="dxa"/>
            <w:shd w:val="clear" w:color="auto" w:fill="D9E2F3" w:themeFill="accent1" w:themeFillTint="33"/>
          </w:tcPr>
          <w:p w14:paraId="7F437914" w14:textId="5B7A1ADC" w:rsidR="00322DC7" w:rsidRPr="00AB7B5C" w:rsidRDefault="00322DC7" w:rsidP="00127A29">
            <w:pPr>
              <w:rPr>
                <w:rFonts w:cstheme="minorHAnsi"/>
                <w:b/>
                <w:bCs/>
              </w:rPr>
            </w:pPr>
            <w:r w:rsidRPr="00AB7B5C">
              <w:rPr>
                <w:rFonts w:cstheme="minorHAnsi"/>
                <w:b/>
                <w:bCs/>
              </w:rPr>
              <w:t>Check in, Breakfast, Networking</w:t>
            </w:r>
          </w:p>
        </w:tc>
        <w:tc>
          <w:tcPr>
            <w:tcW w:w="2160" w:type="dxa"/>
            <w:shd w:val="clear" w:color="auto" w:fill="D9E2F3" w:themeFill="accent1" w:themeFillTint="33"/>
          </w:tcPr>
          <w:p w14:paraId="52F7D2B0" w14:textId="4C366A7C" w:rsidR="00322DC7" w:rsidRPr="00AB7B5C" w:rsidRDefault="00322DC7" w:rsidP="00127A29">
            <w:pPr>
              <w:jc w:val="center"/>
              <w:rPr>
                <w:rFonts w:cstheme="minorHAnsi"/>
              </w:rPr>
            </w:pPr>
            <w:r w:rsidRPr="00AB7B5C">
              <w:rPr>
                <w:rFonts w:cstheme="minorHAnsi"/>
              </w:rPr>
              <w:t>Atrium</w:t>
            </w:r>
          </w:p>
        </w:tc>
      </w:tr>
      <w:tr w:rsidR="00322DC7" w:rsidRPr="00AB7B5C" w14:paraId="60E80EAC" w14:textId="5EC844E9" w:rsidTr="00127A29">
        <w:tc>
          <w:tcPr>
            <w:tcW w:w="1795" w:type="dxa"/>
            <w:shd w:val="pct12" w:color="auto" w:fill="auto"/>
          </w:tcPr>
          <w:p w14:paraId="4D776476" w14:textId="7BAE6939" w:rsidR="00322DC7" w:rsidRPr="00AB7B5C" w:rsidRDefault="00322DC7" w:rsidP="00127A29">
            <w:pPr>
              <w:jc w:val="center"/>
              <w:rPr>
                <w:rFonts w:cstheme="minorHAnsi"/>
              </w:rPr>
            </w:pPr>
            <w:r w:rsidRPr="00AB7B5C">
              <w:rPr>
                <w:rFonts w:cstheme="minorHAnsi"/>
              </w:rPr>
              <w:t>9:00 – 11:00</w:t>
            </w:r>
          </w:p>
        </w:tc>
        <w:tc>
          <w:tcPr>
            <w:tcW w:w="6660" w:type="dxa"/>
            <w:shd w:val="pct12" w:color="auto" w:fill="auto"/>
          </w:tcPr>
          <w:p w14:paraId="7855DB0E" w14:textId="21E0EAA2" w:rsidR="00322DC7" w:rsidRPr="00AB7B5C" w:rsidRDefault="00322DC7" w:rsidP="00127A29">
            <w:pPr>
              <w:rPr>
                <w:rFonts w:cstheme="minorHAnsi"/>
                <w:b/>
                <w:bCs/>
              </w:rPr>
            </w:pPr>
            <w:r w:rsidRPr="00AB7B5C">
              <w:rPr>
                <w:rFonts w:cstheme="minorHAnsi"/>
                <w:b/>
                <w:bCs/>
              </w:rPr>
              <w:t>Morning Plenary – Live Streamed</w:t>
            </w:r>
          </w:p>
        </w:tc>
        <w:tc>
          <w:tcPr>
            <w:tcW w:w="2160" w:type="dxa"/>
            <w:shd w:val="pct12" w:color="auto" w:fill="auto"/>
          </w:tcPr>
          <w:p w14:paraId="6F2E5E64" w14:textId="77777777" w:rsidR="00322DC7" w:rsidRPr="00AB7B5C" w:rsidRDefault="00322DC7" w:rsidP="00127A29">
            <w:pPr>
              <w:jc w:val="center"/>
              <w:rPr>
                <w:rFonts w:cstheme="minorHAnsi"/>
              </w:rPr>
            </w:pPr>
          </w:p>
        </w:tc>
      </w:tr>
      <w:tr w:rsidR="00322DC7" w:rsidRPr="00AB7B5C" w14:paraId="22482644" w14:textId="187DEB1F" w:rsidTr="00127A29">
        <w:tc>
          <w:tcPr>
            <w:tcW w:w="1795" w:type="dxa"/>
          </w:tcPr>
          <w:p w14:paraId="1A607A43" w14:textId="77777777" w:rsidR="00322DC7" w:rsidRPr="00AB7B5C" w:rsidRDefault="00322DC7" w:rsidP="00127A29">
            <w:pPr>
              <w:jc w:val="center"/>
              <w:rPr>
                <w:rFonts w:cstheme="minorHAnsi"/>
              </w:rPr>
            </w:pPr>
            <w:r w:rsidRPr="00AB7B5C">
              <w:rPr>
                <w:rFonts w:cstheme="minorHAnsi"/>
              </w:rPr>
              <w:t>9:00 – 9:10</w:t>
            </w:r>
          </w:p>
          <w:p w14:paraId="6363401A" w14:textId="00B77541" w:rsidR="00322DC7" w:rsidRPr="00AB7B5C" w:rsidRDefault="00322DC7" w:rsidP="00127A29">
            <w:pPr>
              <w:jc w:val="center"/>
              <w:rPr>
                <w:rFonts w:cstheme="minorHAnsi"/>
              </w:rPr>
            </w:pPr>
          </w:p>
        </w:tc>
        <w:tc>
          <w:tcPr>
            <w:tcW w:w="6660" w:type="dxa"/>
          </w:tcPr>
          <w:p w14:paraId="6A6FDA57" w14:textId="77777777" w:rsidR="00322DC7" w:rsidRDefault="00322DC7" w:rsidP="00127A29">
            <w:pPr>
              <w:rPr>
                <w:rFonts w:cstheme="minorHAnsi"/>
              </w:rPr>
            </w:pPr>
            <w:r w:rsidRPr="00AB7B5C">
              <w:rPr>
                <w:rFonts w:cstheme="minorHAnsi"/>
              </w:rPr>
              <w:t>Welcome, Land Acknowledgement, Our Why</w:t>
            </w:r>
          </w:p>
          <w:p w14:paraId="14784FB7" w14:textId="4BEA5D1A" w:rsidR="006F23F0" w:rsidRPr="006F23F0" w:rsidRDefault="006F23F0" w:rsidP="006F23F0">
            <w:pPr>
              <w:pStyle w:val="ListParagraph"/>
              <w:numPr>
                <w:ilvl w:val="0"/>
                <w:numId w:val="16"/>
              </w:numPr>
              <w:rPr>
                <w:rFonts w:cstheme="minorHAnsi"/>
              </w:rPr>
            </w:pPr>
            <w:r w:rsidRPr="006F23F0">
              <w:rPr>
                <w:rFonts w:cstheme="minorHAnsi"/>
              </w:rPr>
              <w:t xml:space="preserve">Sarah Verbiest, DrPH, MSW, MPH, Director Jordan Institute for Families and Ramona Denby-Brinson, PhD, </w:t>
            </w:r>
            <w:r w:rsidR="00C326B7">
              <w:rPr>
                <w:rFonts w:cstheme="minorHAnsi"/>
              </w:rPr>
              <w:t xml:space="preserve">ACSW, LMSW, </w:t>
            </w:r>
            <w:r w:rsidRPr="006F23F0">
              <w:rPr>
                <w:rFonts w:cstheme="minorHAnsi"/>
              </w:rPr>
              <w:t>Dean of the UNC School of Social Work.</w:t>
            </w:r>
          </w:p>
        </w:tc>
        <w:tc>
          <w:tcPr>
            <w:tcW w:w="2160" w:type="dxa"/>
          </w:tcPr>
          <w:p w14:paraId="46D98821" w14:textId="1D4AB813" w:rsidR="00322DC7" w:rsidRPr="00AB7B5C" w:rsidRDefault="00322DC7" w:rsidP="00127A29">
            <w:pPr>
              <w:rPr>
                <w:rFonts w:cstheme="minorHAnsi"/>
              </w:rPr>
            </w:pPr>
            <w:r w:rsidRPr="00AB7B5C">
              <w:rPr>
                <w:rFonts w:cstheme="minorHAnsi"/>
              </w:rPr>
              <w:t>Redbud A &amp; B</w:t>
            </w:r>
          </w:p>
        </w:tc>
      </w:tr>
      <w:tr w:rsidR="00322DC7" w:rsidRPr="00AB7B5C" w14:paraId="3EE8A4FD" w14:textId="0A9D76EE" w:rsidTr="00127A29">
        <w:tc>
          <w:tcPr>
            <w:tcW w:w="1795" w:type="dxa"/>
          </w:tcPr>
          <w:p w14:paraId="7F9456B9" w14:textId="77777777" w:rsidR="00322DC7" w:rsidRPr="00AB7B5C" w:rsidRDefault="00322DC7" w:rsidP="00127A29">
            <w:pPr>
              <w:jc w:val="center"/>
              <w:rPr>
                <w:rFonts w:cstheme="minorHAnsi"/>
              </w:rPr>
            </w:pPr>
            <w:r w:rsidRPr="00AB7B5C">
              <w:rPr>
                <w:rFonts w:cstheme="minorHAnsi"/>
              </w:rPr>
              <w:t>9:10 – 9:30</w:t>
            </w:r>
          </w:p>
          <w:p w14:paraId="7ECAE1A0" w14:textId="4D3B8DB0" w:rsidR="00322DC7" w:rsidRPr="00AB7B5C" w:rsidRDefault="00322DC7" w:rsidP="00127A29">
            <w:pPr>
              <w:jc w:val="center"/>
              <w:rPr>
                <w:rFonts w:cstheme="minorHAnsi"/>
              </w:rPr>
            </w:pPr>
          </w:p>
        </w:tc>
        <w:tc>
          <w:tcPr>
            <w:tcW w:w="6660" w:type="dxa"/>
          </w:tcPr>
          <w:p w14:paraId="2F95D437" w14:textId="77777777" w:rsidR="00322DC7" w:rsidRPr="00AB7B5C" w:rsidRDefault="00322DC7" w:rsidP="00127A29">
            <w:pPr>
              <w:rPr>
                <w:rFonts w:cstheme="minorHAnsi"/>
              </w:rPr>
            </w:pPr>
            <w:r w:rsidRPr="00AB7B5C">
              <w:rPr>
                <w:rFonts w:cstheme="minorHAnsi"/>
              </w:rPr>
              <w:t>Our NC Child Fatality Prevention System – Why We Matter, Where We Are, Where We Want to Go</w:t>
            </w:r>
          </w:p>
          <w:p w14:paraId="44F0D518" w14:textId="4B373C3C" w:rsidR="00322DC7" w:rsidRPr="00AB7B5C" w:rsidRDefault="0059695B" w:rsidP="00127A29">
            <w:pPr>
              <w:pStyle w:val="ListParagraph"/>
              <w:numPr>
                <w:ilvl w:val="0"/>
                <w:numId w:val="15"/>
              </w:numPr>
              <w:rPr>
                <w:rFonts w:cstheme="minorHAnsi"/>
              </w:rPr>
            </w:pPr>
            <w:r w:rsidRPr="00AB7B5C">
              <w:rPr>
                <w:rFonts w:cstheme="minorHAnsi"/>
              </w:rPr>
              <w:t>Karen McLeod, MSW, Co-Chair, NC Child Fatality Task Force and Kella Hatcher, JD, Executive Director, NC Child Fatality Task Force</w:t>
            </w:r>
          </w:p>
        </w:tc>
        <w:tc>
          <w:tcPr>
            <w:tcW w:w="2160" w:type="dxa"/>
          </w:tcPr>
          <w:p w14:paraId="3CDB2A0A" w14:textId="1378CC3A" w:rsidR="00322DC7" w:rsidRPr="00AB7B5C" w:rsidRDefault="00322DC7" w:rsidP="00127A29">
            <w:pPr>
              <w:rPr>
                <w:rFonts w:cstheme="minorHAnsi"/>
              </w:rPr>
            </w:pPr>
            <w:r w:rsidRPr="00AB7B5C">
              <w:rPr>
                <w:rFonts w:cstheme="minorHAnsi"/>
              </w:rPr>
              <w:t>Redbud A &amp; B</w:t>
            </w:r>
          </w:p>
        </w:tc>
      </w:tr>
      <w:tr w:rsidR="00322DC7" w:rsidRPr="00AB7B5C" w14:paraId="6033C358" w14:textId="4958D779" w:rsidTr="00127A29">
        <w:trPr>
          <w:trHeight w:val="620"/>
        </w:trPr>
        <w:tc>
          <w:tcPr>
            <w:tcW w:w="1795" w:type="dxa"/>
          </w:tcPr>
          <w:p w14:paraId="684C2FEC" w14:textId="49F7C0A9" w:rsidR="00322DC7" w:rsidRPr="00AB7B5C" w:rsidRDefault="00322DC7" w:rsidP="00127A29">
            <w:pPr>
              <w:jc w:val="center"/>
              <w:rPr>
                <w:rFonts w:cstheme="minorHAnsi"/>
              </w:rPr>
            </w:pPr>
            <w:r w:rsidRPr="00AB7B5C">
              <w:rPr>
                <w:rFonts w:cstheme="minorHAnsi"/>
              </w:rPr>
              <w:t>9:30 – 10:10</w:t>
            </w:r>
          </w:p>
          <w:p w14:paraId="25E147BC" w14:textId="183273F0" w:rsidR="00322DC7" w:rsidRPr="00AB7B5C" w:rsidRDefault="00322DC7" w:rsidP="00127A29">
            <w:pPr>
              <w:jc w:val="center"/>
              <w:rPr>
                <w:rFonts w:cstheme="minorHAnsi"/>
              </w:rPr>
            </w:pPr>
          </w:p>
        </w:tc>
        <w:tc>
          <w:tcPr>
            <w:tcW w:w="6660" w:type="dxa"/>
          </w:tcPr>
          <w:p w14:paraId="0FD505C3" w14:textId="77777777" w:rsidR="00322DC7" w:rsidRPr="00AB7B5C" w:rsidRDefault="00322DC7" w:rsidP="00127A29">
            <w:pPr>
              <w:rPr>
                <w:rFonts w:cstheme="minorHAnsi"/>
              </w:rPr>
            </w:pPr>
            <w:r w:rsidRPr="00AB7B5C">
              <w:rPr>
                <w:rFonts w:cstheme="minorHAnsi"/>
              </w:rPr>
              <w:t>Your job is hard! Dealing with Secondary Trauma and Burnout</w:t>
            </w:r>
          </w:p>
          <w:p w14:paraId="7E0E5233" w14:textId="1F39E76A" w:rsidR="00322DC7" w:rsidRPr="00AB7B5C" w:rsidRDefault="0059695B" w:rsidP="00127A29">
            <w:pPr>
              <w:pStyle w:val="ListParagraph"/>
              <w:numPr>
                <w:ilvl w:val="0"/>
                <w:numId w:val="15"/>
              </w:numPr>
              <w:rPr>
                <w:rFonts w:cstheme="minorHAnsi"/>
              </w:rPr>
            </w:pPr>
            <w:r w:rsidRPr="00AB7B5C">
              <w:rPr>
                <w:rFonts w:cstheme="minorHAnsi"/>
              </w:rPr>
              <w:t>Michael Cull, PhD, Associate Director, Center for Innovation in Population Health, Associate Professor, Health Management and Policy, University of Kentucky, College of Public Health</w:t>
            </w:r>
          </w:p>
        </w:tc>
        <w:tc>
          <w:tcPr>
            <w:tcW w:w="2160" w:type="dxa"/>
          </w:tcPr>
          <w:p w14:paraId="61C34672" w14:textId="1C3F9275" w:rsidR="00322DC7" w:rsidRPr="00AB7B5C" w:rsidRDefault="00322DC7" w:rsidP="00127A29">
            <w:pPr>
              <w:rPr>
                <w:rFonts w:cstheme="minorHAnsi"/>
              </w:rPr>
            </w:pPr>
            <w:r w:rsidRPr="00AB7B5C">
              <w:rPr>
                <w:rFonts w:cstheme="minorHAnsi"/>
              </w:rPr>
              <w:t>Redbud A &amp; B</w:t>
            </w:r>
          </w:p>
        </w:tc>
      </w:tr>
      <w:tr w:rsidR="00322DC7" w:rsidRPr="00AB7B5C" w14:paraId="68D0BEF1" w14:textId="77777777" w:rsidTr="00127A29">
        <w:tc>
          <w:tcPr>
            <w:tcW w:w="1795" w:type="dxa"/>
          </w:tcPr>
          <w:p w14:paraId="60F4078B" w14:textId="6DC3D6CA" w:rsidR="00322DC7" w:rsidRPr="00AB7B5C" w:rsidRDefault="00322DC7" w:rsidP="00127A29">
            <w:pPr>
              <w:jc w:val="center"/>
              <w:rPr>
                <w:rFonts w:cstheme="minorHAnsi"/>
              </w:rPr>
            </w:pPr>
            <w:r w:rsidRPr="00AB7B5C">
              <w:rPr>
                <w:rFonts w:cstheme="minorHAnsi"/>
              </w:rPr>
              <w:t>10:10-10:50</w:t>
            </w:r>
          </w:p>
        </w:tc>
        <w:tc>
          <w:tcPr>
            <w:tcW w:w="6660" w:type="dxa"/>
          </w:tcPr>
          <w:p w14:paraId="7DC8B2A9" w14:textId="02315528" w:rsidR="00322DC7" w:rsidRPr="00AB7B5C" w:rsidRDefault="00322DC7" w:rsidP="00127A29">
            <w:pPr>
              <w:rPr>
                <w:rFonts w:cstheme="minorHAnsi"/>
              </w:rPr>
            </w:pPr>
            <w:r w:rsidRPr="00AB7B5C">
              <w:rPr>
                <w:rFonts w:cstheme="minorHAnsi"/>
              </w:rPr>
              <w:t>Bringing a Diversity, Equity</w:t>
            </w:r>
            <w:r w:rsidR="00117413" w:rsidRPr="00AB7B5C">
              <w:rPr>
                <w:rFonts w:cstheme="minorHAnsi"/>
              </w:rPr>
              <w:t>,</w:t>
            </w:r>
            <w:r w:rsidRPr="00AB7B5C">
              <w:rPr>
                <w:rFonts w:cstheme="minorHAnsi"/>
              </w:rPr>
              <w:t xml:space="preserve"> and Inclusive Lens to Child Death Reviews</w:t>
            </w:r>
          </w:p>
          <w:p w14:paraId="0CD23B10" w14:textId="24B419D4" w:rsidR="00322DC7" w:rsidRPr="003408CC" w:rsidRDefault="0059695B" w:rsidP="00757277">
            <w:pPr>
              <w:pStyle w:val="paragraph"/>
              <w:numPr>
                <w:ilvl w:val="0"/>
                <w:numId w:val="15"/>
              </w:numPr>
              <w:spacing w:before="0" w:beforeAutospacing="0" w:after="0" w:afterAutospacing="0"/>
              <w:textAlignment w:val="baseline"/>
              <w:rPr>
                <w:rFonts w:cstheme="minorHAnsi"/>
              </w:rPr>
            </w:pPr>
            <w:r w:rsidRPr="00AB7B5C">
              <w:rPr>
                <w:rFonts w:asciiTheme="minorHAnsi" w:hAnsiTheme="minorHAnsi" w:cstheme="minorHAnsi"/>
                <w:sz w:val="22"/>
                <w:szCs w:val="22"/>
              </w:rPr>
              <w:t xml:space="preserve">Abby Collier, MS, Director, National Center for Fatality Review and Prevention and Sasha </w:t>
            </w:r>
            <w:proofErr w:type="spellStart"/>
            <w:r w:rsidRPr="00AB7B5C">
              <w:rPr>
                <w:rFonts w:asciiTheme="minorHAnsi" w:hAnsiTheme="minorHAnsi" w:cstheme="minorHAnsi"/>
                <w:sz w:val="22"/>
                <w:szCs w:val="22"/>
              </w:rPr>
              <w:t>Mintz</w:t>
            </w:r>
            <w:proofErr w:type="spellEnd"/>
            <w:r w:rsidRPr="00AB7B5C">
              <w:rPr>
                <w:rFonts w:asciiTheme="minorHAnsi" w:hAnsiTheme="minorHAnsi" w:cstheme="minorHAnsi"/>
                <w:sz w:val="22"/>
                <w:szCs w:val="22"/>
              </w:rPr>
              <w:t>, Senior Epidemiologist, National Center for Fatality Review and Prevention</w:t>
            </w:r>
          </w:p>
        </w:tc>
        <w:tc>
          <w:tcPr>
            <w:tcW w:w="2160" w:type="dxa"/>
          </w:tcPr>
          <w:p w14:paraId="085B5653" w14:textId="014A08BC" w:rsidR="00322DC7" w:rsidRPr="00AB7B5C" w:rsidRDefault="00322DC7" w:rsidP="00127A29">
            <w:pPr>
              <w:rPr>
                <w:rFonts w:cstheme="minorHAnsi"/>
              </w:rPr>
            </w:pPr>
            <w:r w:rsidRPr="00AB7B5C">
              <w:rPr>
                <w:rFonts w:cstheme="minorHAnsi"/>
              </w:rPr>
              <w:t>Redbud A &amp; B</w:t>
            </w:r>
          </w:p>
        </w:tc>
      </w:tr>
      <w:tr w:rsidR="00322DC7" w:rsidRPr="00AB7B5C" w14:paraId="0E08C0A0" w14:textId="77B55AC7" w:rsidTr="00127A29">
        <w:tc>
          <w:tcPr>
            <w:tcW w:w="1795" w:type="dxa"/>
            <w:tcBorders>
              <w:bottom w:val="single" w:sz="4" w:space="0" w:color="auto"/>
            </w:tcBorders>
          </w:tcPr>
          <w:p w14:paraId="24413162" w14:textId="77777777" w:rsidR="00322DC7" w:rsidRPr="00AB7B5C" w:rsidRDefault="00322DC7" w:rsidP="00127A29">
            <w:pPr>
              <w:jc w:val="center"/>
              <w:rPr>
                <w:rFonts w:cstheme="minorHAnsi"/>
              </w:rPr>
            </w:pPr>
            <w:r w:rsidRPr="00AB7B5C">
              <w:rPr>
                <w:rFonts w:cstheme="minorHAnsi"/>
              </w:rPr>
              <w:t>10:50 – 11:00</w:t>
            </w:r>
          </w:p>
          <w:p w14:paraId="03208187" w14:textId="4378F710" w:rsidR="00322DC7" w:rsidRPr="00AB7B5C" w:rsidRDefault="00322DC7" w:rsidP="00127A29">
            <w:pPr>
              <w:jc w:val="center"/>
              <w:rPr>
                <w:rFonts w:cstheme="minorHAnsi"/>
              </w:rPr>
            </w:pPr>
          </w:p>
        </w:tc>
        <w:tc>
          <w:tcPr>
            <w:tcW w:w="6660" w:type="dxa"/>
            <w:tcBorders>
              <w:bottom w:val="single" w:sz="4" w:space="0" w:color="auto"/>
            </w:tcBorders>
          </w:tcPr>
          <w:p w14:paraId="3B997C04" w14:textId="77777777" w:rsidR="00322DC7" w:rsidRPr="00AB7B5C" w:rsidRDefault="00322DC7" w:rsidP="00127A29">
            <w:pPr>
              <w:rPr>
                <w:rFonts w:cstheme="minorHAnsi"/>
              </w:rPr>
            </w:pPr>
            <w:r w:rsidRPr="00AB7B5C">
              <w:rPr>
                <w:rFonts w:cstheme="minorHAnsi"/>
              </w:rPr>
              <w:t>Charge for the day</w:t>
            </w:r>
          </w:p>
          <w:p w14:paraId="05FF8724" w14:textId="37F64988" w:rsidR="00322DC7" w:rsidRPr="00AB7B5C" w:rsidRDefault="0059695B" w:rsidP="00127A29">
            <w:pPr>
              <w:pStyle w:val="ListParagraph"/>
              <w:numPr>
                <w:ilvl w:val="0"/>
                <w:numId w:val="15"/>
              </w:numPr>
              <w:rPr>
                <w:rFonts w:cstheme="minorHAnsi"/>
              </w:rPr>
            </w:pPr>
            <w:r w:rsidRPr="00AB7B5C">
              <w:rPr>
                <w:rFonts w:cstheme="minorHAnsi"/>
              </w:rPr>
              <w:t xml:space="preserve">Dr. Elizabeth Cuervo Tilson, MD, MPH, State Health Director and Chief Medical Officer, NC Department of </w:t>
            </w:r>
            <w:proofErr w:type="gramStart"/>
            <w:r w:rsidRPr="00AB7B5C">
              <w:rPr>
                <w:rFonts w:cstheme="minorHAnsi"/>
              </w:rPr>
              <w:t>Health</w:t>
            </w:r>
            <w:proofErr w:type="gramEnd"/>
            <w:r w:rsidRPr="00AB7B5C">
              <w:rPr>
                <w:rFonts w:cstheme="minorHAnsi"/>
              </w:rPr>
              <w:t xml:space="preserve"> and Human Services</w:t>
            </w:r>
          </w:p>
        </w:tc>
        <w:tc>
          <w:tcPr>
            <w:tcW w:w="2160" w:type="dxa"/>
            <w:tcBorders>
              <w:bottom w:val="single" w:sz="4" w:space="0" w:color="auto"/>
            </w:tcBorders>
          </w:tcPr>
          <w:p w14:paraId="32F8CE22" w14:textId="2EC695DA" w:rsidR="00322DC7" w:rsidRPr="00AB7B5C" w:rsidRDefault="00322DC7" w:rsidP="00127A29">
            <w:pPr>
              <w:rPr>
                <w:rFonts w:cstheme="minorHAnsi"/>
              </w:rPr>
            </w:pPr>
            <w:r w:rsidRPr="00AB7B5C">
              <w:rPr>
                <w:rFonts w:cstheme="minorHAnsi"/>
              </w:rPr>
              <w:t>Redbud A &amp; B</w:t>
            </w:r>
          </w:p>
        </w:tc>
      </w:tr>
      <w:tr w:rsidR="00322DC7" w:rsidRPr="00AB7B5C" w14:paraId="373688EF" w14:textId="5CF77F24" w:rsidTr="00127A29">
        <w:tc>
          <w:tcPr>
            <w:tcW w:w="1795" w:type="dxa"/>
            <w:tcBorders>
              <w:bottom w:val="single" w:sz="4" w:space="0" w:color="auto"/>
            </w:tcBorders>
            <w:shd w:val="clear" w:color="auto" w:fill="D9E2F3" w:themeFill="accent1" w:themeFillTint="33"/>
          </w:tcPr>
          <w:p w14:paraId="0B787E23" w14:textId="535B852B" w:rsidR="00322DC7" w:rsidRPr="00AB7B5C" w:rsidRDefault="00322DC7" w:rsidP="00127A29">
            <w:pPr>
              <w:jc w:val="center"/>
              <w:rPr>
                <w:rFonts w:cstheme="minorHAnsi"/>
              </w:rPr>
            </w:pPr>
            <w:r w:rsidRPr="00AB7B5C">
              <w:rPr>
                <w:rFonts w:cstheme="minorHAnsi"/>
              </w:rPr>
              <w:t>11:00 – 11:10</w:t>
            </w:r>
          </w:p>
        </w:tc>
        <w:tc>
          <w:tcPr>
            <w:tcW w:w="6660" w:type="dxa"/>
            <w:tcBorders>
              <w:bottom w:val="single" w:sz="4" w:space="0" w:color="auto"/>
            </w:tcBorders>
            <w:shd w:val="clear" w:color="auto" w:fill="D9E2F3" w:themeFill="accent1" w:themeFillTint="33"/>
          </w:tcPr>
          <w:p w14:paraId="00D27E8A" w14:textId="3F033E6D" w:rsidR="00322DC7" w:rsidRPr="00AB7B5C" w:rsidRDefault="00322DC7" w:rsidP="00127A29">
            <w:pPr>
              <w:rPr>
                <w:rFonts w:cstheme="minorHAnsi"/>
                <w:b/>
                <w:bCs/>
              </w:rPr>
            </w:pPr>
            <w:r w:rsidRPr="00AB7B5C">
              <w:rPr>
                <w:rFonts w:cstheme="minorHAnsi"/>
                <w:b/>
                <w:bCs/>
              </w:rPr>
              <w:t>Break &amp; Move to Breakout Session 1</w:t>
            </w:r>
          </w:p>
        </w:tc>
        <w:tc>
          <w:tcPr>
            <w:tcW w:w="2160" w:type="dxa"/>
            <w:tcBorders>
              <w:bottom w:val="single" w:sz="4" w:space="0" w:color="auto"/>
            </w:tcBorders>
            <w:shd w:val="clear" w:color="auto" w:fill="D9E2F3" w:themeFill="accent1" w:themeFillTint="33"/>
          </w:tcPr>
          <w:p w14:paraId="7806C813" w14:textId="77777777" w:rsidR="00322DC7" w:rsidRPr="00AB7B5C" w:rsidRDefault="00322DC7" w:rsidP="00127A29">
            <w:pPr>
              <w:rPr>
                <w:rFonts w:cstheme="minorHAnsi"/>
              </w:rPr>
            </w:pPr>
          </w:p>
        </w:tc>
      </w:tr>
      <w:tr w:rsidR="00322DC7" w:rsidRPr="00AB7B5C" w14:paraId="50F3A4E7" w14:textId="1DAA2B17" w:rsidTr="00127A29">
        <w:tc>
          <w:tcPr>
            <w:tcW w:w="1795" w:type="dxa"/>
            <w:shd w:val="pct12" w:color="auto" w:fill="auto"/>
          </w:tcPr>
          <w:p w14:paraId="14FE243C" w14:textId="6A380ABC" w:rsidR="00322DC7" w:rsidRPr="00AB7B5C" w:rsidRDefault="00322DC7" w:rsidP="00127A29">
            <w:pPr>
              <w:jc w:val="center"/>
              <w:rPr>
                <w:rFonts w:cstheme="minorHAnsi"/>
              </w:rPr>
            </w:pPr>
            <w:r w:rsidRPr="00AB7B5C">
              <w:rPr>
                <w:rFonts w:cstheme="minorHAnsi"/>
              </w:rPr>
              <w:t>11:10 – 12:00</w:t>
            </w:r>
          </w:p>
        </w:tc>
        <w:tc>
          <w:tcPr>
            <w:tcW w:w="6660" w:type="dxa"/>
            <w:shd w:val="pct12" w:color="auto" w:fill="auto"/>
          </w:tcPr>
          <w:p w14:paraId="42301D01" w14:textId="69E7440D" w:rsidR="00322DC7" w:rsidRPr="00AB7B5C" w:rsidRDefault="00322DC7" w:rsidP="00127A29">
            <w:pPr>
              <w:rPr>
                <w:rFonts w:cstheme="minorHAnsi"/>
                <w:b/>
                <w:bCs/>
              </w:rPr>
            </w:pPr>
            <w:r w:rsidRPr="00AB7B5C">
              <w:rPr>
                <w:rFonts w:cstheme="minorHAnsi"/>
                <w:b/>
                <w:bCs/>
              </w:rPr>
              <w:t>Breakout session #1</w:t>
            </w:r>
          </w:p>
        </w:tc>
        <w:tc>
          <w:tcPr>
            <w:tcW w:w="2160" w:type="dxa"/>
            <w:shd w:val="pct12" w:color="auto" w:fill="auto"/>
          </w:tcPr>
          <w:p w14:paraId="7C25CB42" w14:textId="77777777" w:rsidR="00322DC7" w:rsidRPr="00AB7B5C" w:rsidRDefault="00322DC7" w:rsidP="00127A29">
            <w:pPr>
              <w:rPr>
                <w:rFonts w:cstheme="minorHAnsi"/>
              </w:rPr>
            </w:pPr>
          </w:p>
        </w:tc>
      </w:tr>
      <w:tr w:rsidR="00322DC7" w:rsidRPr="00AB7B5C" w14:paraId="29B00326" w14:textId="57E88548" w:rsidTr="00127A29">
        <w:tc>
          <w:tcPr>
            <w:tcW w:w="1795" w:type="dxa"/>
          </w:tcPr>
          <w:p w14:paraId="22E6D9E5" w14:textId="77777777" w:rsidR="00322DC7" w:rsidRPr="00AB7B5C" w:rsidRDefault="00322DC7" w:rsidP="00127A29">
            <w:pPr>
              <w:jc w:val="center"/>
              <w:rPr>
                <w:rFonts w:cstheme="minorHAnsi"/>
              </w:rPr>
            </w:pPr>
          </w:p>
        </w:tc>
        <w:tc>
          <w:tcPr>
            <w:tcW w:w="6660" w:type="dxa"/>
          </w:tcPr>
          <w:p w14:paraId="6B0E6FF1" w14:textId="3CEFF5FB" w:rsidR="00322DC7" w:rsidRPr="00AB7B5C" w:rsidRDefault="00322DC7" w:rsidP="00127A29">
            <w:pPr>
              <w:rPr>
                <w:rFonts w:cstheme="minorHAnsi"/>
              </w:rPr>
            </w:pPr>
            <w:r w:rsidRPr="00AB7B5C">
              <w:rPr>
                <w:rFonts w:cstheme="minorHAnsi"/>
              </w:rPr>
              <w:t xml:space="preserve">Youth </w:t>
            </w:r>
            <w:r w:rsidR="00117413" w:rsidRPr="00AB7B5C">
              <w:rPr>
                <w:rFonts w:cstheme="minorHAnsi"/>
              </w:rPr>
              <w:t xml:space="preserve">Suicide and Youth </w:t>
            </w:r>
            <w:r w:rsidRPr="00AB7B5C">
              <w:rPr>
                <w:rFonts w:cstheme="minorHAnsi"/>
              </w:rPr>
              <w:t xml:space="preserve">Mental Health </w:t>
            </w:r>
          </w:p>
          <w:p w14:paraId="2E0A0A8F" w14:textId="5D290F1D" w:rsidR="00322DC7" w:rsidRPr="00AB7B5C" w:rsidRDefault="0059695B" w:rsidP="00127A29">
            <w:pPr>
              <w:pStyle w:val="ListParagraph"/>
              <w:numPr>
                <w:ilvl w:val="0"/>
                <w:numId w:val="15"/>
              </w:numPr>
              <w:rPr>
                <w:rFonts w:cstheme="minorHAnsi"/>
              </w:rPr>
            </w:pPr>
            <w:r w:rsidRPr="00AB7B5C">
              <w:rPr>
                <w:rFonts w:cstheme="minorHAnsi"/>
              </w:rPr>
              <w:t>Ty Lautenschlager, MPH, CSTE Applied Epidemiology Fellow, Injury &amp; Violence Prevention Branch, NC Division of Public Health; Anne Geisinger, MPH, RDN, NC Comprehensive Suicide Prevention Program Coordinator &amp; Team Lead, NC Division of Public Health; Community Partner</w:t>
            </w:r>
            <w:r w:rsidR="00AB7B5C">
              <w:rPr>
                <w:rFonts w:cstheme="minorHAnsi"/>
              </w:rPr>
              <w:t xml:space="preserve"> and </w:t>
            </w:r>
            <w:r w:rsidRPr="00AB7B5C">
              <w:rPr>
                <w:rFonts w:cstheme="minorHAnsi"/>
              </w:rPr>
              <w:t>Kenya L. Procter, Senior Consultant, Procter Solutions, LLC, and Trainer for Faith Leaders for Life Suicide Prevention Program</w:t>
            </w:r>
          </w:p>
        </w:tc>
        <w:tc>
          <w:tcPr>
            <w:tcW w:w="2160" w:type="dxa"/>
          </w:tcPr>
          <w:p w14:paraId="11BD63F2" w14:textId="067E11E4" w:rsidR="00322DC7" w:rsidRPr="00AB7B5C" w:rsidRDefault="00322DC7" w:rsidP="00127A29">
            <w:pPr>
              <w:rPr>
                <w:rFonts w:cstheme="minorHAnsi"/>
              </w:rPr>
            </w:pPr>
            <w:r w:rsidRPr="00AB7B5C">
              <w:rPr>
                <w:rFonts w:cstheme="minorHAnsi"/>
              </w:rPr>
              <w:t xml:space="preserve"> </w:t>
            </w:r>
            <w:r w:rsidR="004570E8">
              <w:rPr>
                <w:rFonts w:cstheme="minorHAnsi"/>
              </w:rPr>
              <w:t>TBD</w:t>
            </w:r>
          </w:p>
        </w:tc>
      </w:tr>
      <w:tr w:rsidR="00322DC7" w:rsidRPr="00AB7B5C" w14:paraId="5E660113" w14:textId="4EC562AE" w:rsidTr="00127A29">
        <w:tc>
          <w:tcPr>
            <w:tcW w:w="1795" w:type="dxa"/>
          </w:tcPr>
          <w:p w14:paraId="7A0B2AB9" w14:textId="77777777" w:rsidR="00322DC7" w:rsidRPr="00AB7B5C" w:rsidRDefault="00322DC7" w:rsidP="00127A29">
            <w:pPr>
              <w:jc w:val="center"/>
              <w:rPr>
                <w:rFonts w:cstheme="minorHAnsi"/>
              </w:rPr>
            </w:pPr>
          </w:p>
        </w:tc>
        <w:tc>
          <w:tcPr>
            <w:tcW w:w="6660" w:type="dxa"/>
          </w:tcPr>
          <w:p w14:paraId="789AA780" w14:textId="2174C1DB" w:rsidR="00322DC7" w:rsidRPr="00AB7B5C" w:rsidRDefault="00322DC7" w:rsidP="00614786">
            <w:pPr>
              <w:spacing w:line="259" w:lineRule="auto"/>
              <w:rPr>
                <w:rFonts w:cstheme="minorHAnsi"/>
              </w:rPr>
            </w:pPr>
            <w:r w:rsidRPr="00AB7B5C">
              <w:rPr>
                <w:rFonts w:cstheme="minorHAnsi"/>
              </w:rPr>
              <w:t xml:space="preserve">The A, B, </w:t>
            </w:r>
            <w:proofErr w:type="gramStart"/>
            <w:r w:rsidRPr="00AB7B5C">
              <w:rPr>
                <w:rFonts w:cstheme="minorHAnsi"/>
              </w:rPr>
              <w:t>C’s</w:t>
            </w:r>
            <w:proofErr w:type="gramEnd"/>
            <w:r w:rsidRPr="00AB7B5C">
              <w:rPr>
                <w:rFonts w:cstheme="minorHAnsi"/>
              </w:rPr>
              <w:t xml:space="preserve"> of Medical Examinations</w:t>
            </w:r>
            <w:r w:rsidR="008D3104" w:rsidRPr="00AB7B5C">
              <w:rPr>
                <w:rFonts w:cstheme="minorHAnsi"/>
              </w:rPr>
              <w:t xml:space="preserve"> from the Chief Medical Examiner</w:t>
            </w:r>
          </w:p>
          <w:p w14:paraId="6AEB7CAA" w14:textId="14A14CA5" w:rsidR="00322DC7" w:rsidRPr="00AB7B5C" w:rsidRDefault="0059695B" w:rsidP="00127A29">
            <w:pPr>
              <w:pStyle w:val="ListParagraph"/>
              <w:numPr>
                <w:ilvl w:val="0"/>
                <w:numId w:val="15"/>
              </w:numPr>
              <w:spacing w:after="160" w:line="259" w:lineRule="auto"/>
              <w:rPr>
                <w:rFonts w:cstheme="minorHAnsi"/>
              </w:rPr>
            </w:pPr>
            <w:r w:rsidRPr="00AB7B5C">
              <w:rPr>
                <w:rFonts w:cstheme="minorHAnsi"/>
              </w:rPr>
              <w:t xml:space="preserve">Dr. Michelle Aurelius, MD, Chief Medical Examiner, NC Department of </w:t>
            </w:r>
            <w:proofErr w:type="gramStart"/>
            <w:r w:rsidRPr="00AB7B5C">
              <w:rPr>
                <w:rFonts w:cstheme="minorHAnsi"/>
              </w:rPr>
              <w:t>Health</w:t>
            </w:r>
            <w:proofErr w:type="gramEnd"/>
            <w:r w:rsidRPr="00AB7B5C">
              <w:rPr>
                <w:rFonts w:cstheme="minorHAnsi"/>
              </w:rPr>
              <w:t xml:space="preserve"> and Human Services</w:t>
            </w:r>
          </w:p>
        </w:tc>
        <w:tc>
          <w:tcPr>
            <w:tcW w:w="2160" w:type="dxa"/>
          </w:tcPr>
          <w:p w14:paraId="7DE89340" w14:textId="1EE79801" w:rsidR="00322DC7" w:rsidRPr="00AB7B5C" w:rsidRDefault="004570E8" w:rsidP="00127A29">
            <w:pPr>
              <w:rPr>
                <w:rFonts w:cstheme="minorHAnsi"/>
              </w:rPr>
            </w:pPr>
            <w:r>
              <w:rPr>
                <w:rFonts w:cstheme="minorHAnsi"/>
              </w:rPr>
              <w:t>TBD</w:t>
            </w:r>
          </w:p>
        </w:tc>
      </w:tr>
      <w:tr w:rsidR="00322DC7" w:rsidRPr="00AB7B5C" w14:paraId="120FC9CD" w14:textId="734F85E1" w:rsidTr="00127A29">
        <w:tc>
          <w:tcPr>
            <w:tcW w:w="1795" w:type="dxa"/>
            <w:tcBorders>
              <w:bottom w:val="single" w:sz="4" w:space="0" w:color="auto"/>
            </w:tcBorders>
          </w:tcPr>
          <w:p w14:paraId="675DE858" w14:textId="77777777" w:rsidR="00322DC7" w:rsidRPr="00AB7B5C" w:rsidRDefault="00322DC7" w:rsidP="00127A29">
            <w:pPr>
              <w:jc w:val="center"/>
              <w:rPr>
                <w:rFonts w:cstheme="minorHAnsi"/>
              </w:rPr>
            </w:pPr>
          </w:p>
        </w:tc>
        <w:tc>
          <w:tcPr>
            <w:tcW w:w="6660" w:type="dxa"/>
            <w:tcBorders>
              <w:bottom w:val="single" w:sz="4" w:space="0" w:color="auto"/>
            </w:tcBorders>
          </w:tcPr>
          <w:p w14:paraId="28F7CC16" w14:textId="77777777" w:rsidR="00AB7B5C" w:rsidRDefault="00322DC7" w:rsidP="00614786">
            <w:pPr>
              <w:spacing w:line="259" w:lineRule="auto"/>
              <w:rPr>
                <w:rStyle w:val="normaltextrun"/>
                <w:rFonts w:cstheme="minorHAnsi"/>
                <w:bdr w:val="none" w:sz="0" w:space="0" w:color="auto" w:frame="1"/>
              </w:rPr>
            </w:pPr>
            <w:r w:rsidRPr="00AB7B5C">
              <w:rPr>
                <w:rStyle w:val="normaltextrun"/>
                <w:rFonts w:cstheme="minorHAnsi"/>
                <w:bdr w:val="none" w:sz="0" w:space="0" w:color="auto" w:frame="1"/>
              </w:rPr>
              <w:t>Infant Death Review and Prevention Strategies</w:t>
            </w:r>
            <w:r w:rsidR="0084685E" w:rsidRPr="00AB7B5C">
              <w:rPr>
                <w:rStyle w:val="normaltextrun"/>
                <w:rFonts w:cstheme="minorHAnsi"/>
                <w:bdr w:val="none" w:sz="0" w:space="0" w:color="auto" w:frame="1"/>
              </w:rPr>
              <w:t xml:space="preserve"> </w:t>
            </w:r>
          </w:p>
          <w:p w14:paraId="0A441571" w14:textId="7DD34814" w:rsidR="0084685E" w:rsidRPr="00AB7B5C" w:rsidRDefault="0059695B" w:rsidP="00AB7B5C">
            <w:pPr>
              <w:pStyle w:val="ListParagraph"/>
              <w:numPr>
                <w:ilvl w:val="0"/>
                <w:numId w:val="15"/>
              </w:numPr>
              <w:spacing w:after="160" w:line="259" w:lineRule="auto"/>
              <w:rPr>
                <w:rFonts w:cstheme="minorHAnsi"/>
                <w:bdr w:val="none" w:sz="0" w:space="0" w:color="auto" w:frame="1"/>
              </w:rPr>
            </w:pPr>
            <w:r w:rsidRPr="00AB7B5C">
              <w:rPr>
                <w:rFonts w:cstheme="minorHAnsi"/>
              </w:rPr>
              <w:t>Jessica Johnson, MPH, Coordinator, NC Perinatal Health Equity Collective, NC DHHS</w:t>
            </w:r>
            <w:r w:rsidR="00AB7B5C">
              <w:rPr>
                <w:rFonts w:cstheme="minorHAnsi"/>
              </w:rPr>
              <w:t>;</w:t>
            </w:r>
            <w:r w:rsidRPr="00AB7B5C">
              <w:rPr>
                <w:rFonts w:cstheme="minorHAnsi"/>
              </w:rPr>
              <w:t xml:space="preserve"> Shelby Weeks, MPH Infant and Community Health Branch Head, NC DHHS, and Susanna Joy, National Center for Fatality Review and Prevention</w:t>
            </w:r>
          </w:p>
        </w:tc>
        <w:tc>
          <w:tcPr>
            <w:tcW w:w="2160" w:type="dxa"/>
            <w:tcBorders>
              <w:bottom w:val="single" w:sz="4" w:space="0" w:color="auto"/>
            </w:tcBorders>
          </w:tcPr>
          <w:p w14:paraId="568D9EBE" w14:textId="35BF1669" w:rsidR="00322DC7" w:rsidRPr="00AB7B5C" w:rsidRDefault="004570E8" w:rsidP="00127A29">
            <w:pPr>
              <w:rPr>
                <w:rFonts w:cstheme="minorHAnsi"/>
              </w:rPr>
            </w:pPr>
            <w:r>
              <w:rPr>
                <w:rFonts w:cstheme="minorHAnsi"/>
              </w:rPr>
              <w:t>TBD</w:t>
            </w:r>
          </w:p>
        </w:tc>
      </w:tr>
      <w:tr w:rsidR="00322DC7" w:rsidRPr="00AB7B5C" w14:paraId="67EEC4EE" w14:textId="77777777" w:rsidTr="00127A29">
        <w:tc>
          <w:tcPr>
            <w:tcW w:w="1795" w:type="dxa"/>
            <w:tcBorders>
              <w:bottom w:val="single" w:sz="4" w:space="0" w:color="auto"/>
            </w:tcBorders>
          </w:tcPr>
          <w:p w14:paraId="27874E12" w14:textId="716700A3" w:rsidR="00322DC7" w:rsidRPr="00AB7B5C" w:rsidRDefault="00322DC7" w:rsidP="00127A29">
            <w:pPr>
              <w:jc w:val="center"/>
              <w:rPr>
                <w:rFonts w:cstheme="minorHAnsi"/>
              </w:rPr>
            </w:pPr>
          </w:p>
        </w:tc>
        <w:tc>
          <w:tcPr>
            <w:tcW w:w="6660" w:type="dxa"/>
            <w:tcBorders>
              <w:bottom w:val="single" w:sz="4" w:space="0" w:color="auto"/>
            </w:tcBorders>
          </w:tcPr>
          <w:p w14:paraId="46D431C8" w14:textId="0D69DFD1" w:rsidR="0084685E" w:rsidRPr="00AB7B5C" w:rsidRDefault="00322DC7" w:rsidP="00127A29">
            <w:pPr>
              <w:spacing w:after="160" w:line="259" w:lineRule="auto"/>
              <w:rPr>
                <w:rFonts w:cstheme="minorHAnsi"/>
              </w:rPr>
            </w:pPr>
            <w:r w:rsidRPr="00AB7B5C">
              <w:rPr>
                <w:rFonts w:cstheme="minorHAnsi"/>
              </w:rPr>
              <w:t xml:space="preserve">Integrating Secondary Trauma Reduction Strategies into Child Death Review </w:t>
            </w:r>
            <w:r w:rsidR="0066395F" w:rsidRPr="00AB7B5C">
              <w:rPr>
                <w:rFonts w:cstheme="minorHAnsi"/>
              </w:rPr>
              <w:t>Work</w:t>
            </w:r>
          </w:p>
          <w:p w14:paraId="0CCADA11" w14:textId="7ADC7C08" w:rsidR="0084685E" w:rsidRPr="00AB7B5C" w:rsidRDefault="0059695B" w:rsidP="00127A29">
            <w:pPr>
              <w:pStyle w:val="ListParagraph"/>
              <w:numPr>
                <w:ilvl w:val="0"/>
                <w:numId w:val="15"/>
              </w:numPr>
              <w:spacing w:after="160" w:line="259" w:lineRule="auto"/>
              <w:rPr>
                <w:rFonts w:cstheme="minorHAnsi"/>
              </w:rPr>
            </w:pPr>
            <w:r w:rsidRPr="00AB7B5C">
              <w:rPr>
                <w:rFonts w:cstheme="minorHAnsi"/>
              </w:rPr>
              <w:lastRenderedPageBreak/>
              <w:t>Michael Cull, PhD, Associate Director, Center for Innovation in Population Health, Associate Professor, Health Management and Policy, University of Kentucky, College of Public Health</w:t>
            </w:r>
          </w:p>
        </w:tc>
        <w:tc>
          <w:tcPr>
            <w:tcW w:w="2160" w:type="dxa"/>
            <w:tcBorders>
              <w:bottom w:val="single" w:sz="4" w:space="0" w:color="auto"/>
            </w:tcBorders>
          </w:tcPr>
          <w:p w14:paraId="2518FE2C" w14:textId="7ECB8EE3" w:rsidR="00322DC7" w:rsidRPr="00AB7B5C" w:rsidRDefault="004570E8" w:rsidP="00127A29">
            <w:pPr>
              <w:rPr>
                <w:rFonts w:cstheme="minorHAnsi"/>
              </w:rPr>
            </w:pPr>
            <w:r>
              <w:rPr>
                <w:rFonts w:cstheme="minorHAnsi"/>
              </w:rPr>
              <w:lastRenderedPageBreak/>
              <w:t>TBD</w:t>
            </w:r>
          </w:p>
        </w:tc>
      </w:tr>
      <w:tr w:rsidR="00322DC7" w:rsidRPr="00AB7B5C" w14:paraId="4EA95E85" w14:textId="611C9817" w:rsidTr="00127A29">
        <w:tc>
          <w:tcPr>
            <w:tcW w:w="1795" w:type="dxa"/>
            <w:tcBorders>
              <w:bottom w:val="single" w:sz="4" w:space="0" w:color="auto"/>
            </w:tcBorders>
            <w:shd w:val="clear" w:color="auto" w:fill="D9E2F3" w:themeFill="accent1" w:themeFillTint="33"/>
          </w:tcPr>
          <w:p w14:paraId="677E5269" w14:textId="12B2D3B4" w:rsidR="00322DC7" w:rsidRPr="00AB7B5C" w:rsidRDefault="00322DC7" w:rsidP="00127A29">
            <w:pPr>
              <w:jc w:val="center"/>
              <w:rPr>
                <w:rFonts w:cstheme="minorHAnsi"/>
              </w:rPr>
            </w:pPr>
            <w:r w:rsidRPr="00AB7B5C">
              <w:rPr>
                <w:rFonts w:cstheme="minorHAnsi"/>
              </w:rPr>
              <w:t>12:00 – 12:50</w:t>
            </w:r>
          </w:p>
        </w:tc>
        <w:tc>
          <w:tcPr>
            <w:tcW w:w="6660" w:type="dxa"/>
            <w:tcBorders>
              <w:bottom w:val="single" w:sz="4" w:space="0" w:color="auto"/>
            </w:tcBorders>
            <w:shd w:val="clear" w:color="auto" w:fill="D9E2F3" w:themeFill="accent1" w:themeFillTint="33"/>
          </w:tcPr>
          <w:p w14:paraId="02BD6ABC" w14:textId="402E6F21" w:rsidR="00322DC7" w:rsidRPr="00AB7B5C" w:rsidRDefault="00322DC7" w:rsidP="00127A29">
            <w:pPr>
              <w:rPr>
                <w:rFonts w:cstheme="minorHAnsi"/>
                <w:b/>
                <w:bCs/>
              </w:rPr>
            </w:pPr>
            <w:r w:rsidRPr="00AB7B5C">
              <w:rPr>
                <w:rFonts w:cstheme="minorHAnsi"/>
                <w:b/>
                <w:bCs/>
              </w:rPr>
              <w:t>Lunch &amp; Networking</w:t>
            </w:r>
          </w:p>
        </w:tc>
        <w:tc>
          <w:tcPr>
            <w:tcW w:w="2160" w:type="dxa"/>
            <w:tcBorders>
              <w:bottom w:val="single" w:sz="4" w:space="0" w:color="auto"/>
            </w:tcBorders>
            <w:shd w:val="clear" w:color="auto" w:fill="D9E2F3" w:themeFill="accent1" w:themeFillTint="33"/>
          </w:tcPr>
          <w:p w14:paraId="1C6E4DBF" w14:textId="77777777" w:rsidR="00322DC7" w:rsidRPr="00AB7B5C" w:rsidRDefault="00322DC7" w:rsidP="00127A29">
            <w:pPr>
              <w:rPr>
                <w:rFonts w:cstheme="minorHAnsi"/>
              </w:rPr>
            </w:pPr>
          </w:p>
        </w:tc>
      </w:tr>
      <w:tr w:rsidR="00322DC7" w:rsidRPr="00AB7B5C" w14:paraId="0AA2A402" w14:textId="21FE40CA" w:rsidTr="00127A29">
        <w:trPr>
          <w:trHeight w:val="512"/>
        </w:trPr>
        <w:tc>
          <w:tcPr>
            <w:tcW w:w="1795" w:type="dxa"/>
            <w:tcBorders>
              <w:bottom w:val="single" w:sz="4" w:space="0" w:color="auto"/>
            </w:tcBorders>
            <w:shd w:val="clear" w:color="auto" w:fill="D9E2F3" w:themeFill="accent1" w:themeFillTint="33"/>
          </w:tcPr>
          <w:p w14:paraId="6836D804" w14:textId="5275CEBB" w:rsidR="00322DC7" w:rsidRPr="00AB7B5C" w:rsidRDefault="00322DC7" w:rsidP="00127A29">
            <w:pPr>
              <w:jc w:val="center"/>
              <w:rPr>
                <w:rFonts w:cstheme="minorHAnsi"/>
              </w:rPr>
            </w:pPr>
            <w:r w:rsidRPr="00AB7B5C">
              <w:rPr>
                <w:rFonts w:cstheme="minorHAnsi"/>
              </w:rPr>
              <w:t>12:50 – 1:00</w:t>
            </w:r>
          </w:p>
        </w:tc>
        <w:tc>
          <w:tcPr>
            <w:tcW w:w="6660" w:type="dxa"/>
            <w:tcBorders>
              <w:bottom w:val="single" w:sz="4" w:space="0" w:color="auto"/>
            </w:tcBorders>
            <w:shd w:val="clear" w:color="auto" w:fill="D9E2F3" w:themeFill="accent1" w:themeFillTint="33"/>
          </w:tcPr>
          <w:p w14:paraId="529BEEC1" w14:textId="0F7435B7" w:rsidR="00322DC7" w:rsidRPr="00AB7B5C" w:rsidRDefault="00322DC7" w:rsidP="00127A29">
            <w:pPr>
              <w:rPr>
                <w:rFonts w:cstheme="minorHAnsi"/>
                <w:b/>
                <w:bCs/>
              </w:rPr>
            </w:pPr>
            <w:r w:rsidRPr="00AB7B5C">
              <w:rPr>
                <w:rFonts w:cstheme="minorHAnsi"/>
                <w:b/>
                <w:bCs/>
              </w:rPr>
              <w:t>Move to second breakout session</w:t>
            </w:r>
          </w:p>
        </w:tc>
        <w:tc>
          <w:tcPr>
            <w:tcW w:w="2160" w:type="dxa"/>
            <w:tcBorders>
              <w:bottom w:val="single" w:sz="4" w:space="0" w:color="auto"/>
            </w:tcBorders>
            <w:shd w:val="clear" w:color="auto" w:fill="D9E2F3" w:themeFill="accent1" w:themeFillTint="33"/>
          </w:tcPr>
          <w:p w14:paraId="3B216168" w14:textId="77777777" w:rsidR="00322DC7" w:rsidRPr="00AB7B5C" w:rsidRDefault="00322DC7" w:rsidP="00127A29">
            <w:pPr>
              <w:rPr>
                <w:rFonts w:cstheme="minorHAnsi"/>
              </w:rPr>
            </w:pPr>
          </w:p>
        </w:tc>
      </w:tr>
      <w:tr w:rsidR="00322DC7" w:rsidRPr="00AB7B5C" w14:paraId="13B67613" w14:textId="0584C788" w:rsidTr="00127A29">
        <w:tc>
          <w:tcPr>
            <w:tcW w:w="1795" w:type="dxa"/>
            <w:shd w:val="pct12" w:color="auto" w:fill="auto"/>
          </w:tcPr>
          <w:p w14:paraId="67F8DDE1" w14:textId="50798964" w:rsidR="00322DC7" w:rsidRPr="00AB7B5C" w:rsidRDefault="00322DC7" w:rsidP="00127A29">
            <w:pPr>
              <w:jc w:val="center"/>
              <w:rPr>
                <w:rFonts w:cstheme="minorHAnsi"/>
              </w:rPr>
            </w:pPr>
            <w:r w:rsidRPr="00AB7B5C">
              <w:rPr>
                <w:rFonts w:cstheme="minorHAnsi"/>
              </w:rPr>
              <w:t>1:00 – 1:50</w:t>
            </w:r>
          </w:p>
        </w:tc>
        <w:tc>
          <w:tcPr>
            <w:tcW w:w="6660" w:type="dxa"/>
            <w:shd w:val="pct12" w:color="auto" w:fill="auto"/>
          </w:tcPr>
          <w:p w14:paraId="1C7A904F" w14:textId="4F4134AE" w:rsidR="00322DC7" w:rsidRPr="00AB7B5C" w:rsidRDefault="00322DC7" w:rsidP="00127A29">
            <w:pPr>
              <w:rPr>
                <w:rFonts w:cstheme="minorHAnsi"/>
                <w:b/>
                <w:bCs/>
              </w:rPr>
            </w:pPr>
            <w:r w:rsidRPr="00AB7B5C">
              <w:rPr>
                <w:rFonts w:cstheme="minorHAnsi"/>
                <w:b/>
                <w:bCs/>
              </w:rPr>
              <w:t>Breakout session #2</w:t>
            </w:r>
          </w:p>
        </w:tc>
        <w:tc>
          <w:tcPr>
            <w:tcW w:w="2160" w:type="dxa"/>
            <w:shd w:val="pct12" w:color="auto" w:fill="auto"/>
          </w:tcPr>
          <w:p w14:paraId="61FBCB63" w14:textId="77777777" w:rsidR="00322DC7" w:rsidRPr="00AB7B5C" w:rsidRDefault="00322DC7" w:rsidP="00127A29">
            <w:pPr>
              <w:rPr>
                <w:rFonts w:cstheme="minorHAnsi"/>
              </w:rPr>
            </w:pPr>
          </w:p>
        </w:tc>
      </w:tr>
      <w:tr w:rsidR="00322DC7" w:rsidRPr="00AB7B5C" w14:paraId="06A2B87A" w14:textId="77777777" w:rsidTr="00127A29">
        <w:tc>
          <w:tcPr>
            <w:tcW w:w="1795" w:type="dxa"/>
            <w:shd w:val="clear" w:color="auto" w:fill="auto"/>
          </w:tcPr>
          <w:p w14:paraId="0040FFF6" w14:textId="77777777" w:rsidR="00322DC7" w:rsidRPr="00AB7B5C" w:rsidRDefault="00322DC7" w:rsidP="00127A29">
            <w:pPr>
              <w:jc w:val="center"/>
              <w:rPr>
                <w:rFonts w:cstheme="minorHAnsi"/>
              </w:rPr>
            </w:pPr>
          </w:p>
        </w:tc>
        <w:tc>
          <w:tcPr>
            <w:tcW w:w="6660" w:type="dxa"/>
            <w:shd w:val="clear" w:color="auto" w:fill="auto"/>
          </w:tcPr>
          <w:p w14:paraId="0735A0F2" w14:textId="77777777" w:rsidR="00595545" w:rsidRDefault="00595545" w:rsidP="00595545">
            <w:pPr>
              <w:rPr>
                <w:rFonts w:cstheme="minorHAnsi"/>
              </w:rPr>
            </w:pPr>
            <w:r w:rsidRPr="00AB7B5C">
              <w:rPr>
                <w:rFonts w:cstheme="minorHAnsi"/>
              </w:rPr>
              <w:t xml:space="preserve">The A, B, </w:t>
            </w:r>
            <w:proofErr w:type="gramStart"/>
            <w:r w:rsidRPr="00AB7B5C">
              <w:rPr>
                <w:rFonts w:cstheme="minorHAnsi"/>
              </w:rPr>
              <w:t>C’s</w:t>
            </w:r>
            <w:proofErr w:type="gramEnd"/>
            <w:r w:rsidRPr="00AB7B5C">
              <w:rPr>
                <w:rFonts w:cstheme="minorHAnsi"/>
              </w:rPr>
              <w:t xml:space="preserve"> of Medical Examinations from the Chief Medical Examiner (REPEAT)</w:t>
            </w:r>
          </w:p>
          <w:p w14:paraId="58A83B09" w14:textId="039997DB" w:rsidR="00322DC7" w:rsidRPr="00595545" w:rsidRDefault="00595545" w:rsidP="00595545">
            <w:pPr>
              <w:pStyle w:val="ListParagraph"/>
              <w:numPr>
                <w:ilvl w:val="0"/>
                <w:numId w:val="15"/>
              </w:numPr>
              <w:rPr>
                <w:rFonts w:cstheme="minorHAnsi"/>
                <w:shd w:val="clear" w:color="auto" w:fill="FFFFFF"/>
              </w:rPr>
            </w:pPr>
            <w:r w:rsidRPr="00595545">
              <w:rPr>
                <w:rFonts w:cstheme="minorHAnsi"/>
              </w:rPr>
              <w:t xml:space="preserve">Dr. Michelle Aurelius, MD, Chief Medical Examiner, NC Department of </w:t>
            </w:r>
            <w:proofErr w:type="gramStart"/>
            <w:r w:rsidRPr="00595545">
              <w:rPr>
                <w:rFonts w:cstheme="minorHAnsi"/>
              </w:rPr>
              <w:t>Health</w:t>
            </w:r>
            <w:proofErr w:type="gramEnd"/>
            <w:r w:rsidRPr="00595545">
              <w:rPr>
                <w:rFonts w:cstheme="minorHAnsi"/>
              </w:rPr>
              <w:t xml:space="preserve"> and Human Services</w:t>
            </w:r>
          </w:p>
        </w:tc>
        <w:tc>
          <w:tcPr>
            <w:tcW w:w="2160" w:type="dxa"/>
            <w:shd w:val="clear" w:color="auto" w:fill="auto"/>
          </w:tcPr>
          <w:p w14:paraId="60BB7D5B" w14:textId="62358503" w:rsidR="00322DC7" w:rsidRPr="00AB7B5C" w:rsidRDefault="004570E8" w:rsidP="00127A29">
            <w:pPr>
              <w:rPr>
                <w:rFonts w:cstheme="minorHAnsi"/>
              </w:rPr>
            </w:pPr>
            <w:r>
              <w:rPr>
                <w:rFonts w:cstheme="minorHAnsi"/>
              </w:rPr>
              <w:t>TBD</w:t>
            </w:r>
          </w:p>
        </w:tc>
      </w:tr>
      <w:tr w:rsidR="00322DC7" w:rsidRPr="00AB7B5C" w14:paraId="328B41BF" w14:textId="32EEE2F1" w:rsidTr="00127A29">
        <w:tc>
          <w:tcPr>
            <w:tcW w:w="1795" w:type="dxa"/>
          </w:tcPr>
          <w:p w14:paraId="28F94536" w14:textId="77777777" w:rsidR="00322DC7" w:rsidRPr="00AB7B5C" w:rsidRDefault="00322DC7" w:rsidP="00127A29">
            <w:pPr>
              <w:jc w:val="center"/>
              <w:rPr>
                <w:rFonts w:cstheme="minorHAnsi"/>
              </w:rPr>
            </w:pPr>
          </w:p>
        </w:tc>
        <w:tc>
          <w:tcPr>
            <w:tcW w:w="6660" w:type="dxa"/>
          </w:tcPr>
          <w:p w14:paraId="6FEC89F6" w14:textId="77777777" w:rsidR="00322DC7" w:rsidRPr="00AB7B5C" w:rsidRDefault="00117413" w:rsidP="00127A29">
            <w:pPr>
              <w:rPr>
                <w:rFonts w:cstheme="minorHAnsi"/>
              </w:rPr>
            </w:pPr>
            <w:r w:rsidRPr="00AB7B5C">
              <w:rPr>
                <w:rFonts w:cstheme="minorHAnsi"/>
              </w:rPr>
              <w:t>Violence Prevention, Firearm Safety and Access to Lethal Means</w:t>
            </w:r>
          </w:p>
          <w:p w14:paraId="59DC79F6" w14:textId="6EBE79D4" w:rsidR="00117413" w:rsidRPr="00AB7B5C" w:rsidRDefault="00AB7B5C" w:rsidP="00127A29">
            <w:pPr>
              <w:pStyle w:val="ListParagraph"/>
              <w:numPr>
                <w:ilvl w:val="0"/>
                <w:numId w:val="15"/>
              </w:numPr>
              <w:rPr>
                <w:rFonts w:cstheme="minorHAnsi"/>
              </w:rPr>
            </w:pPr>
            <w:r w:rsidRPr="00AB7B5C">
              <w:rPr>
                <w:rFonts w:cstheme="minorHAnsi"/>
              </w:rPr>
              <w:t>Ty Lautenschlager, MPH, CSTE Applied Epidemiology Fellow, Injury &amp; Violence Prevention Branch, NC Division of Public Health; Anne Geisinger, MPH, RDN, NC Comprehensive Suicide Prevention Program Coordinator &amp; Team Lead, NC Division of Public Health, and William L. Lassiter, MPA, Deputy Secretary for Juvenile Justice, NC Department of Public Safety; Community Partner</w:t>
            </w:r>
          </w:p>
        </w:tc>
        <w:tc>
          <w:tcPr>
            <w:tcW w:w="2160" w:type="dxa"/>
          </w:tcPr>
          <w:p w14:paraId="7B02B94A" w14:textId="3A3CA952" w:rsidR="00322DC7" w:rsidRPr="00AB7B5C" w:rsidRDefault="004570E8" w:rsidP="00127A29">
            <w:pPr>
              <w:rPr>
                <w:rFonts w:cstheme="minorHAnsi"/>
              </w:rPr>
            </w:pPr>
            <w:r>
              <w:rPr>
                <w:rFonts w:cstheme="minorHAnsi"/>
              </w:rPr>
              <w:t>TBD</w:t>
            </w:r>
          </w:p>
        </w:tc>
      </w:tr>
      <w:tr w:rsidR="00322DC7" w:rsidRPr="00AB7B5C" w14:paraId="7E027DF0" w14:textId="359D81AB" w:rsidTr="00127A29">
        <w:tc>
          <w:tcPr>
            <w:tcW w:w="1795" w:type="dxa"/>
          </w:tcPr>
          <w:p w14:paraId="37D845D6" w14:textId="77777777" w:rsidR="00322DC7" w:rsidRPr="00AB7B5C" w:rsidRDefault="00322DC7" w:rsidP="00127A29">
            <w:pPr>
              <w:jc w:val="center"/>
              <w:rPr>
                <w:rFonts w:cstheme="minorHAnsi"/>
              </w:rPr>
            </w:pPr>
          </w:p>
        </w:tc>
        <w:tc>
          <w:tcPr>
            <w:tcW w:w="6660" w:type="dxa"/>
          </w:tcPr>
          <w:p w14:paraId="50F7FC30" w14:textId="77777777" w:rsidR="00322DC7" w:rsidRPr="00AB7B5C" w:rsidRDefault="00322DC7" w:rsidP="00127A29">
            <w:pPr>
              <w:rPr>
                <w:rFonts w:cstheme="minorHAnsi"/>
              </w:rPr>
            </w:pPr>
            <w:r w:rsidRPr="00AB7B5C">
              <w:rPr>
                <w:rFonts w:cstheme="minorHAnsi"/>
              </w:rPr>
              <w:t>Social Determinants of Health: Identifying Life Stressors and Protective Factors in Child Death Review</w:t>
            </w:r>
          </w:p>
          <w:p w14:paraId="23660B97" w14:textId="7096770A" w:rsidR="0084685E" w:rsidRPr="00AB7B5C" w:rsidRDefault="00AB7B5C" w:rsidP="00127A29">
            <w:pPr>
              <w:pStyle w:val="ListParagraph"/>
              <w:numPr>
                <w:ilvl w:val="0"/>
                <w:numId w:val="15"/>
              </w:numPr>
              <w:rPr>
                <w:rFonts w:cstheme="minorHAnsi"/>
              </w:rPr>
            </w:pPr>
            <w:r w:rsidRPr="00AB7B5C">
              <w:rPr>
                <w:rFonts w:cstheme="minorHAnsi"/>
              </w:rPr>
              <w:t>Dr. Elizabeth Cuervo Tilson, MD, MPH, State Health Director and Chief Medical Officer, NC Department of Health and Human Services, and Abby Collier, MS, Director, National Center for Fatality Review and Prevention</w:t>
            </w:r>
          </w:p>
        </w:tc>
        <w:tc>
          <w:tcPr>
            <w:tcW w:w="2160" w:type="dxa"/>
          </w:tcPr>
          <w:p w14:paraId="0B9C15F1" w14:textId="4438717A" w:rsidR="00322DC7" w:rsidRPr="00AB7B5C" w:rsidRDefault="004570E8" w:rsidP="00127A29">
            <w:pPr>
              <w:rPr>
                <w:rFonts w:cstheme="minorHAnsi"/>
              </w:rPr>
            </w:pPr>
            <w:r>
              <w:rPr>
                <w:rFonts w:cstheme="minorHAnsi"/>
              </w:rPr>
              <w:t>TBD</w:t>
            </w:r>
          </w:p>
        </w:tc>
      </w:tr>
      <w:tr w:rsidR="00322DC7" w:rsidRPr="00AB7B5C" w14:paraId="2FCED0FD" w14:textId="77777777" w:rsidTr="00127A29">
        <w:tc>
          <w:tcPr>
            <w:tcW w:w="1795" w:type="dxa"/>
          </w:tcPr>
          <w:p w14:paraId="7F2CADB1" w14:textId="77777777" w:rsidR="00322DC7" w:rsidRPr="00AB7B5C" w:rsidRDefault="00322DC7" w:rsidP="00127A29">
            <w:pPr>
              <w:jc w:val="center"/>
              <w:rPr>
                <w:rFonts w:cstheme="minorHAnsi"/>
              </w:rPr>
            </w:pPr>
          </w:p>
        </w:tc>
        <w:tc>
          <w:tcPr>
            <w:tcW w:w="6660" w:type="dxa"/>
          </w:tcPr>
          <w:p w14:paraId="75824850" w14:textId="77777777" w:rsidR="00F007C7" w:rsidRPr="00AB7B5C" w:rsidRDefault="00F007C7" w:rsidP="00F007C7">
            <w:pPr>
              <w:rPr>
                <w:rFonts w:cstheme="minorHAnsi"/>
              </w:rPr>
            </w:pPr>
            <w:r w:rsidRPr="00AB7B5C">
              <w:rPr>
                <w:rFonts w:cstheme="minorHAnsi"/>
              </w:rPr>
              <w:t xml:space="preserve">Sentinel Injuries and the Importance of Identification in Preventing Future Deaths </w:t>
            </w:r>
          </w:p>
          <w:p w14:paraId="7010632C" w14:textId="477B7F08" w:rsidR="00322DC7" w:rsidRPr="00F007C7" w:rsidRDefault="00F007C7" w:rsidP="00F007C7">
            <w:pPr>
              <w:pStyle w:val="ListParagraph"/>
              <w:numPr>
                <w:ilvl w:val="0"/>
                <w:numId w:val="17"/>
              </w:numPr>
              <w:rPr>
                <w:rFonts w:cstheme="minorHAnsi"/>
              </w:rPr>
            </w:pPr>
            <w:r w:rsidRPr="00F007C7">
              <w:rPr>
                <w:rFonts w:cstheme="minorHAnsi"/>
              </w:rPr>
              <w:t>Molly Berkoff, MD MPH, Public Health Pediatrician, Wake County Human Services and Emi Wyble, MSW, RAMS (Regional Abuse and Medical Specialist) Manager, NC Division of Social Services</w:t>
            </w:r>
          </w:p>
        </w:tc>
        <w:tc>
          <w:tcPr>
            <w:tcW w:w="2160" w:type="dxa"/>
          </w:tcPr>
          <w:p w14:paraId="4AEB0AE0" w14:textId="4466221F" w:rsidR="00322DC7" w:rsidRPr="00AB7B5C" w:rsidRDefault="004570E8" w:rsidP="00127A29">
            <w:pPr>
              <w:rPr>
                <w:rFonts w:cstheme="minorHAnsi"/>
              </w:rPr>
            </w:pPr>
            <w:r>
              <w:rPr>
                <w:rFonts w:cstheme="minorHAnsi"/>
              </w:rPr>
              <w:t>TBD</w:t>
            </w:r>
          </w:p>
        </w:tc>
      </w:tr>
      <w:tr w:rsidR="00322DC7" w:rsidRPr="00AB7B5C" w14:paraId="6CDDF6D5" w14:textId="6835CEE0" w:rsidTr="00127A29">
        <w:tc>
          <w:tcPr>
            <w:tcW w:w="1795" w:type="dxa"/>
            <w:tcBorders>
              <w:bottom w:val="single" w:sz="4" w:space="0" w:color="auto"/>
            </w:tcBorders>
            <w:shd w:val="clear" w:color="auto" w:fill="D9E2F3" w:themeFill="accent1" w:themeFillTint="33"/>
          </w:tcPr>
          <w:p w14:paraId="0F4D624B" w14:textId="271765ED" w:rsidR="00322DC7" w:rsidRPr="00AB7B5C" w:rsidRDefault="00322DC7" w:rsidP="00127A29">
            <w:pPr>
              <w:jc w:val="center"/>
              <w:rPr>
                <w:rFonts w:cstheme="minorHAnsi"/>
              </w:rPr>
            </w:pPr>
            <w:r w:rsidRPr="00AB7B5C">
              <w:rPr>
                <w:rFonts w:cstheme="minorHAnsi"/>
              </w:rPr>
              <w:t>1:50 – 2:00</w:t>
            </w:r>
          </w:p>
        </w:tc>
        <w:tc>
          <w:tcPr>
            <w:tcW w:w="6660" w:type="dxa"/>
            <w:tcBorders>
              <w:bottom w:val="single" w:sz="4" w:space="0" w:color="auto"/>
            </w:tcBorders>
            <w:shd w:val="clear" w:color="auto" w:fill="D9E2F3" w:themeFill="accent1" w:themeFillTint="33"/>
          </w:tcPr>
          <w:p w14:paraId="26C09B95" w14:textId="7D65860F" w:rsidR="00322DC7" w:rsidRPr="00AB7B5C" w:rsidRDefault="00322DC7" w:rsidP="00127A29">
            <w:pPr>
              <w:rPr>
                <w:rFonts w:cstheme="minorHAnsi"/>
                <w:b/>
                <w:bCs/>
              </w:rPr>
            </w:pPr>
            <w:r w:rsidRPr="00AB7B5C">
              <w:rPr>
                <w:rFonts w:cstheme="minorHAnsi"/>
                <w:b/>
                <w:bCs/>
              </w:rPr>
              <w:t>Move to third breakout session</w:t>
            </w:r>
          </w:p>
        </w:tc>
        <w:tc>
          <w:tcPr>
            <w:tcW w:w="2160" w:type="dxa"/>
            <w:tcBorders>
              <w:bottom w:val="single" w:sz="4" w:space="0" w:color="auto"/>
            </w:tcBorders>
            <w:shd w:val="clear" w:color="auto" w:fill="D9E2F3" w:themeFill="accent1" w:themeFillTint="33"/>
          </w:tcPr>
          <w:p w14:paraId="72561E86" w14:textId="77777777" w:rsidR="00322DC7" w:rsidRPr="00AB7B5C" w:rsidRDefault="00322DC7" w:rsidP="00127A29">
            <w:pPr>
              <w:rPr>
                <w:rFonts w:cstheme="minorHAnsi"/>
              </w:rPr>
            </w:pPr>
          </w:p>
        </w:tc>
      </w:tr>
      <w:tr w:rsidR="00322DC7" w:rsidRPr="00AB7B5C" w14:paraId="0F0E348C" w14:textId="21AC0D28" w:rsidTr="00127A29">
        <w:tc>
          <w:tcPr>
            <w:tcW w:w="1795" w:type="dxa"/>
            <w:shd w:val="pct12" w:color="auto" w:fill="auto"/>
          </w:tcPr>
          <w:p w14:paraId="3BB67D91" w14:textId="074DA86E" w:rsidR="00322DC7" w:rsidRPr="00AB7B5C" w:rsidRDefault="00322DC7" w:rsidP="00127A29">
            <w:pPr>
              <w:jc w:val="center"/>
              <w:rPr>
                <w:rFonts w:cstheme="minorHAnsi"/>
              </w:rPr>
            </w:pPr>
            <w:r w:rsidRPr="00AB7B5C">
              <w:rPr>
                <w:rFonts w:cstheme="minorHAnsi"/>
              </w:rPr>
              <w:t>2:00 – 2:50</w:t>
            </w:r>
          </w:p>
        </w:tc>
        <w:tc>
          <w:tcPr>
            <w:tcW w:w="6660" w:type="dxa"/>
            <w:shd w:val="pct12" w:color="auto" w:fill="auto"/>
          </w:tcPr>
          <w:p w14:paraId="62FBEDB4" w14:textId="22E822C0" w:rsidR="00322DC7" w:rsidRPr="00AB7B5C" w:rsidRDefault="00322DC7" w:rsidP="00127A29">
            <w:pPr>
              <w:rPr>
                <w:rFonts w:cstheme="minorHAnsi"/>
                <w:b/>
                <w:bCs/>
              </w:rPr>
            </w:pPr>
            <w:r w:rsidRPr="00AB7B5C">
              <w:rPr>
                <w:rFonts w:cstheme="minorHAnsi"/>
                <w:b/>
                <w:bCs/>
              </w:rPr>
              <w:t>Breakout session #3</w:t>
            </w:r>
          </w:p>
        </w:tc>
        <w:tc>
          <w:tcPr>
            <w:tcW w:w="2160" w:type="dxa"/>
            <w:shd w:val="pct12" w:color="auto" w:fill="auto"/>
          </w:tcPr>
          <w:p w14:paraId="6D4BC695" w14:textId="77777777" w:rsidR="00322DC7" w:rsidRPr="00AB7B5C" w:rsidRDefault="00322DC7" w:rsidP="00127A29">
            <w:pPr>
              <w:rPr>
                <w:rFonts w:cstheme="minorHAnsi"/>
              </w:rPr>
            </w:pPr>
          </w:p>
        </w:tc>
      </w:tr>
      <w:tr w:rsidR="00322DC7" w:rsidRPr="00AB7B5C" w14:paraId="34CCF249" w14:textId="615D2D1A" w:rsidTr="00127A29">
        <w:tc>
          <w:tcPr>
            <w:tcW w:w="1795" w:type="dxa"/>
          </w:tcPr>
          <w:p w14:paraId="6E2C8A47" w14:textId="77777777" w:rsidR="00322DC7" w:rsidRPr="00AB7B5C" w:rsidRDefault="00322DC7" w:rsidP="00127A29">
            <w:pPr>
              <w:jc w:val="center"/>
              <w:rPr>
                <w:rFonts w:cstheme="minorHAnsi"/>
              </w:rPr>
            </w:pPr>
          </w:p>
        </w:tc>
        <w:tc>
          <w:tcPr>
            <w:tcW w:w="6660" w:type="dxa"/>
          </w:tcPr>
          <w:p w14:paraId="7A7B53EE" w14:textId="77777777" w:rsidR="00322DC7" w:rsidRDefault="00322DC7" w:rsidP="00127A29">
            <w:pPr>
              <w:rPr>
                <w:rFonts w:cstheme="minorHAnsi"/>
              </w:rPr>
            </w:pPr>
            <w:r w:rsidRPr="00AB7B5C">
              <w:rPr>
                <w:rFonts w:cstheme="minorHAnsi"/>
              </w:rPr>
              <w:t>Local CFPT/CCPT Team Share Round 1</w:t>
            </w:r>
          </w:p>
          <w:p w14:paraId="3DC1B908" w14:textId="2B49828E" w:rsidR="002517D2" w:rsidRPr="002517D2" w:rsidRDefault="002517D2" w:rsidP="002517D2">
            <w:pPr>
              <w:pStyle w:val="ListParagraph"/>
              <w:numPr>
                <w:ilvl w:val="0"/>
                <w:numId w:val="15"/>
              </w:numPr>
              <w:rPr>
                <w:rFonts w:cstheme="minorHAnsi"/>
              </w:rPr>
            </w:pPr>
            <w:r w:rsidRPr="002517D2">
              <w:rPr>
                <w:rFonts w:cstheme="minorHAnsi"/>
              </w:rPr>
              <w:t>Kerry Young, MS, Local Child Fatality Prevention Team Program Coordinator and Debra McHenry, MSW, Administrator, Child Welfare Intensive Review Program, Team Members plus members from local teams!</w:t>
            </w:r>
          </w:p>
        </w:tc>
        <w:tc>
          <w:tcPr>
            <w:tcW w:w="2160" w:type="dxa"/>
          </w:tcPr>
          <w:p w14:paraId="10D775C0" w14:textId="1D37E012" w:rsidR="00322DC7" w:rsidRPr="00AB7B5C" w:rsidRDefault="004570E8" w:rsidP="00127A29">
            <w:pPr>
              <w:rPr>
                <w:rFonts w:cstheme="minorHAnsi"/>
              </w:rPr>
            </w:pPr>
            <w:r>
              <w:rPr>
                <w:rFonts w:cstheme="minorHAnsi"/>
              </w:rPr>
              <w:t>TBD</w:t>
            </w:r>
          </w:p>
        </w:tc>
      </w:tr>
      <w:tr w:rsidR="00322DC7" w:rsidRPr="00AB7B5C" w14:paraId="2D945BE8" w14:textId="3E835C30" w:rsidTr="00127A29">
        <w:tc>
          <w:tcPr>
            <w:tcW w:w="1795" w:type="dxa"/>
          </w:tcPr>
          <w:p w14:paraId="0C792CE0" w14:textId="77777777" w:rsidR="00322DC7" w:rsidRPr="00AB7B5C" w:rsidRDefault="00322DC7" w:rsidP="00127A29">
            <w:pPr>
              <w:jc w:val="center"/>
              <w:rPr>
                <w:rFonts w:cstheme="minorHAnsi"/>
              </w:rPr>
            </w:pPr>
          </w:p>
        </w:tc>
        <w:tc>
          <w:tcPr>
            <w:tcW w:w="6660" w:type="dxa"/>
          </w:tcPr>
          <w:p w14:paraId="7534C4EC" w14:textId="77777777" w:rsidR="00595545" w:rsidRPr="00AB7B5C" w:rsidRDefault="00595545" w:rsidP="00595545">
            <w:pPr>
              <w:rPr>
                <w:rStyle w:val="eop"/>
                <w:rFonts w:cstheme="minorHAnsi"/>
                <w:shd w:val="clear" w:color="auto" w:fill="FFFFFF"/>
              </w:rPr>
            </w:pPr>
            <w:r w:rsidRPr="00AB7B5C">
              <w:rPr>
                <w:rStyle w:val="eop"/>
                <w:rFonts w:cstheme="minorHAnsi"/>
                <w:shd w:val="clear" w:color="auto" w:fill="FFFFFF"/>
              </w:rPr>
              <w:t>Infant Death Investigation Pitfalls and Review Considerations</w:t>
            </w:r>
          </w:p>
          <w:p w14:paraId="1FBB4713" w14:textId="04737CD0" w:rsidR="00AB7B5C" w:rsidRPr="00AB7B5C" w:rsidRDefault="00595545" w:rsidP="00595545">
            <w:pPr>
              <w:pStyle w:val="ListParagraph"/>
              <w:numPr>
                <w:ilvl w:val="0"/>
                <w:numId w:val="15"/>
              </w:numPr>
              <w:rPr>
                <w:rFonts w:cstheme="minorHAnsi"/>
              </w:rPr>
            </w:pPr>
            <w:r w:rsidRPr="00AB7B5C">
              <w:rPr>
                <w:rFonts w:cstheme="minorHAnsi"/>
              </w:rPr>
              <w:t>Lisa Mayhew, MS, Child Death Investigator/Trainer, NC Office of the Chief Medical Examiner</w:t>
            </w:r>
          </w:p>
        </w:tc>
        <w:tc>
          <w:tcPr>
            <w:tcW w:w="2160" w:type="dxa"/>
          </w:tcPr>
          <w:p w14:paraId="67A7DB49" w14:textId="039BE018" w:rsidR="00322DC7" w:rsidRPr="00AB7B5C" w:rsidRDefault="004570E8" w:rsidP="00127A29">
            <w:pPr>
              <w:rPr>
                <w:rFonts w:cstheme="minorHAnsi"/>
              </w:rPr>
            </w:pPr>
            <w:r>
              <w:rPr>
                <w:rFonts w:cstheme="minorHAnsi"/>
              </w:rPr>
              <w:t>TBD</w:t>
            </w:r>
          </w:p>
        </w:tc>
      </w:tr>
      <w:tr w:rsidR="00322DC7" w:rsidRPr="00AB7B5C" w14:paraId="1FC1BEC4" w14:textId="1F726C12" w:rsidTr="00127A29">
        <w:tc>
          <w:tcPr>
            <w:tcW w:w="1795" w:type="dxa"/>
            <w:shd w:val="clear" w:color="auto" w:fill="auto"/>
          </w:tcPr>
          <w:p w14:paraId="376F21FF" w14:textId="77777777" w:rsidR="00322DC7" w:rsidRPr="00AB7B5C" w:rsidRDefault="00322DC7" w:rsidP="00127A29">
            <w:pPr>
              <w:jc w:val="center"/>
              <w:rPr>
                <w:rFonts w:cstheme="minorHAnsi"/>
              </w:rPr>
            </w:pPr>
          </w:p>
        </w:tc>
        <w:tc>
          <w:tcPr>
            <w:tcW w:w="6660" w:type="dxa"/>
            <w:shd w:val="clear" w:color="auto" w:fill="auto"/>
          </w:tcPr>
          <w:p w14:paraId="635DA706" w14:textId="77777777" w:rsidR="00F007C7" w:rsidRPr="00AB7B5C" w:rsidRDefault="00F007C7" w:rsidP="00F007C7">
            <w:pPr>
              <w:rPr>
                <w:rFonts w:cstheme="minorHAnsi"/>
              </w:rPr>
            </w:pPr>
            <w:r w:rsidRPr="00AB7B5C">
              <w:rPr>
                <w:rFonts w:cstheme="minorHAnsi"/>
              </w:rPr>
              <w:t xml:space="preserve">Building a Self-Care Practice </w:t>
            </w:r>
          </w:p>
          <w:p w14:paraId="3D78077B" w14:textId="0859ACD1" w:rsidR="00322DC7" w:rsidRPr="00AB7B5C" w:rsidRDefault="00F007C7" w:rsidP="00F007C7">
            <w:pPr>
              <w:pStyle w:val="ListParagraph"/>
              <w:numPr>
                <w:ilvl w:val="0"/>
                <w:numId w:val="15"/>
              </w:numPr>
              <w:rPr>
                <w:rFonts w:cstheme="minorHAnsi"/>
              </w:rPr>
            </w:pPr>
            <w:r w:rsidRPr="00AB7B5C">
              <w:rPr>
                <w:rFonts w:cstheme="minorHAnsi"/>
              </w:rPr>
              <w:t>Sarah Reives-Houston,</w:t>
            </w:r>
            <w:r w:rsidR="00D63AB3">
              <w:rPr>
                <w:rFonts w:cstheme="minorHAnsi"/>
              </w:rPr>
              <w:t xml:space="preserve"> PhD</w:t>
            </w:r>
            <w:r w:rsidRPr="00AB7B5C">
              <w:rPr>
                <w:rFonts w:cstheme="minorHAnsi"/>
              </w:rPr>
              <w:t>, Director, Behavioral Health Springboard, UNC School of Social Work</w:t>
            </w:r>
          </w:p>
        </w:tc>
        <w:tc>
          <w:tcPr>
            <w:tcW w:w="2160" w:type="dxa"/>
            <w:shd w:val="clear" w:color="auto" w:fill="auto"/>
          </w:tcPr>
          <w:p w14:paraId="350F1C69" w14:textId="0DF0AC1F" w:rsidR="00322DC7" w:rsidRPr="00AB7B5C" w:rsidRDefault="004570E8" w:rsidP="00127A29">
            <w:pPr>
              <w:rPr>
                <w:rFonts w:cstheme="minorHAnsi"/>
              </w:rPr>
            </w:pPr>
            <w:r>
              <w:rPr>
                <w:rFonts w:cstheme="minorHAnsi"/>
              </w:rPr>
              <w:t>TBD</w:t>
            </w:r>
          </w:p>
        </w:tc>
      </w:tr>
      <w:tr w:rsidR="00322DC7" w:rsidRPr="00AB7B5C" w14:paraId="20E5C1F5" w14:textId="77777777" w:rsidTr="00127A29">
        <w:tc>
          <w:tcPr>
            <w:tcW w:w="1795" w:type="dxa"/>
          </w:tcPr>
          <w:p w14:paraId="3308A42F" w14:textId="77777777" w:rsidR="00322DC7" w:rsidRPr="00AB7B5C" w:rsidRDefault="00322DC7" w:rsidP="00127A29">
            <w:pPr>
              <w:jc w:val="center"/>
              <w:rPr>
                <w:rFonts w:cstheme="minorHAnsi"/>
              </w:rPr>
            </w:pPr>
          </w:p>
        </w:tc>
        <w:tc>
          <w:tcPr>
            <w:tcW w:w="6660" w:type="dxa"/>
          </w:tcPr>
          <w:p w14:paraId="50AF1E7F" w14:textId="77777777" w:rsidR="00AB7B5C" w:rsidRDefault="00322DC7" w:rsidP="00614786">
            <w:pPr>
              <w:spacing w:line="259" w:lineRule="auto"/>
              <w:rPr>
                <w:rFonts w:cstheme="minorHAnsi"/>
              </w:rPr>
            </w:pPr>
            <w:r w:rsidRPr="00AB7B5C">
              <w:rPr>
                <w:rFonts w:cstheme="minorHAnsi"/>
              </w:rPr>
              <w:t>Social Determinants of Health: Identifying Life Stressors and Protective Factors in Child Death Review</w:t>
            </w:r>
            <w:r w:rsidR="0084685E" w:rsidRPr="00AB7B5C">
              <w:rPr>
                <w:rFonts w:cstheme="minorHAnsi"/>
              </w:rPr>
              <w:t xml:space="preserve"> (REPEAT)</w:t>
            </w:r>
          </w:p>
          <w:p w14:paraId="6D8F6D39" w14:textId="707177CA" w:rsidR="00AB7B5C" w:rsidRPr="00AB7B5C" w:rsidRDefault="00AB7B5C" w:rsidP="00AB7B5C">
            <w:pPr>
              <w:pStyle w:val="ListParagraph"/>
              <w:numPr>
                <w:ilvl w:val="0"/>
                <w:numId w:val="15"/>
              </w:numPr>
              <w:spacing w:after="160" w:line="259" w:lineRule="auto"/>
              <w:rPr>
                <w:rFonts w:cstheme="minorHAnsi"/>
              </w:rPr>
            </w:pPr>
            <w:r w:rsidRPr="00AB7B5C">
              <w:rPr>
                <w:rFonts w:cstheme="minorHAnsi"/>
              </w:rPr>
              <w:lastRenderedPageBreak/>
              <w:t>Dr. Elizabeth Cuervo Tilson, MD, MPH, State Health Director and Chief Medical Officer, NC Department of Health and Human Services, and Abby Collier, MS, Director, National Center for Fatality Review and Prevention</w:t>
            </w:r>
          </w:p>
        </w:tc>
        <w:tc>
          <w:tcPr>
            <w:tcW w:w="2160" w:type="dxa"/>
          </w:tcPr>
          <w:p w14:paraId="5D6CB7CE" w14:textId="6507EBF7" w:rsidR="00322DC7" w:rsidRPr="00AB7B5C" w:rsidRDefault="004570E8" w:rsidP="00127A29">
            <w:pPr>
              <w:rPr>
                <w:rFonts w:cstheme="minorHAnsi"/>
              </w:rPr>
            </w:pPr>
            <w:r>
              <w:rPr>
                <w:rFonts w:cstheme="minorHAnsi"/>
              </w:rPr>
              <w:lastRenderedPageBreak/>
              <w:t>TBD</w:t>
            </w:r>
          </w:p>
        </w:tc>
      </w:tr>
      <w:tr w:rsidR="00322DC7" w:rsidRPr="00AB7B5C" w14:paraId="40612D51" w14:textId="179D68A2" w:rsidTr="00127A29">
        <w:tc>
          <w:tcPr>
            <w:tcW w:w="1795" w:type="dxa"/>
            <w:tcBorders>
              <w:bottom w:val="single" w:sz="4" w:space="0" w:color="auto"/>
            </w:tcBorders>
            <w:shd w:val="clear" w:color="auto" w:fill="D9E2F3" w:themeFill="accent1" w:themeFillTint="33"/>
          </w:tcPr>
          <w:p w14:paraId="57123AEE" w14:textId="2667495A" w:rsidR="00322DC7" w:rsidRPr="00AB7B5C" w:rsidRDefault="00322DC7" w:rsidP="00127A29">
            <w:pPr>
              <w:jc w:val="center"/>
              <w:rPr>
                <w:rFonts w:cstheme="minorHAnsi"/>
              </w:rPr>
            </w:pPr>
            <w:r w:rsidRPr="00AB7B5C">
              <w:rPr>
                <w:rFonts w:cstheme="minorHAnsi"/>
              </w:rPr>
              <w:t>2:50 – 3:</w:t>
            </w:r>
            <w:r w:rsidR="0084685E" w:rsidRPr="00AB7B5C">
              <w:rPr>
                <w:rFonts w:cstheme="minorHAnsi"/>
              </w:rPr>
              <w:t>10</w:t>
            </w:r>
          </w:p>
        </w:tc>
        <w:tc>
          <w:tcPr>
            <w:tcW w:w="6660" w:type="dxa"/>
            <w:tcBorders>
              <w:bottom w:val="single" w:sz="4" w:space="0" w:color="auto"/>
            </w:tcBorders>
            <w:shd w:val="clear" w:color="auto" w:fill="D9E2F3" w:themeFill="accent1" w:themeFillTint="33"/>
          </w:tcPr>
          <w:p w14:paraId="716B9A1E" w14:textId="4ADE2A89" w:rsidR="00322DC7" w:rsidRPr="00AB7B5C" w:rsidRDefault="0084685E" w:rsidP="00127A29">
            <w:pPr>
              <w:rPr>
                <w:rFonts w:cstheme="minorHAnsi"/>
                <w:b/>
                <w:bCs/>
              </w:rPr>
            </w:pPr>
            <w:r w:rsidRPr="00AB7B5C">
              <w:rPr>
                <w:rFonts w:cstheme="minorHAnsi"/>
                <w:b/>
                <w:bCs/>
              </w:rPr>
              <w:t xml:space="preserve">Refreshment Break and </w:t>
            </w:r>
            <w:r w:rsidR="00322DC7" w:rsidRPr="00AB7B5C">
              <w:rPr>
                <w:rFonts w:cstheme="minorHAnsi"/>
                <w:b/>
                <w:bCs/>
              </w:rPr>
              <w:t xml:space="preserve">Move </w:t>
            </w:r>
            <w:r w:rsidRPr="00AB7B5C">
              <w:rPr>
                <w:rFonts w:cstheme="minorHAnsi"/>
                <w:b/>
                <w:bCs/>
              </w:rPr>
              <w:t>Final</w:t>
            </w:r>
            <w:r w:rsidR="00322DC7" w:rsidRPr="00AB7B5C">
              <w:rPr>
                <w:rFonts w:cstheme="minorHAnsi"/>
                <w:b/>
                <w:bCs/>
              </w:rPr>
              <w:t xml:space="preserve"> </w:t>
            </w:r>
            <w:r w:rsidRPr="00AB7B5C">
              <w:rPr>
                <w:rFonts w:cstheme="minorHAnsi"/>
                <w:b/>
                <w:bCs/>
              </w:rPr>
              <w:t>B</w:t>
            </w:r>
            <w:r w:rsidR="00322DC7" w:rsidRPr="00AB7B5C">
              <w:rPr>
                <w:rFonts w:cstheme="minorHAnsi"/>
                <w:b/>
                <w:bCs/>
              </w:rPr>
              <w:t xml:space="preserve">reakout </w:t>
            </w:r>
            <w:r w:rsidRPr="00AB7B5C">
              <w:rPr>
                <w:rFonts w:cstheme="minorHAnsi"/>
                <w:b/>
                <w:bCs/>
              </w:rPr>
              <w:t>S</w:t>
            </w:r>
            <w:r w:rsidR="00322DC7" w:rsidRPr="00AB7B5C">
              <w:rPr>
                <w:rFonts w:cstheme="minorHAnsi"/>
                <w:b/>
                <w:bCs/>
              </w:rPr>
              <w:t>ession</w:t>
            </w:r>
          </w:p>
        </w:tc>
        <w:tc>
          <w:tcPr>
            <w:tcW w:w="2160" w:type="dxa"/>
            <w:tcBorders>
              <w:bottom w:val="single" w:sz="4" w:space="0" w:color="auto"/>
            </w:tcBorders>
            <w:shd w:val="clear" w:color="auto" w:fill="D9E2F3" w:themeFill="accent1" w:themeFillTint="33"/>
          </w:tcPr>
          <w:p w14:paraId="6DBE80D4" w14:textId="77777777" w:rsidR="00322DC7" w:rsidRPr="00AB7B5C" w:rsidRDefault="00322DC7" w:rsidP="00127A29">
            <w:pPr>
              <w:rPr>
                <w:rFonts w:cstheme="minorHAnsi"/>
              </w:rPr>
            </w:pPr>
          </w:p>
        </w:tc>
      </w:tr>
      <w:tr w:rsidR="00322DC7" w:rsidRPr="00AB7B5C" w14:paraId="4D9ED418" w14:textId="4D284081" w:rsidTr="00127A29">
        <w:tc>
          <w:tcPr>
            <w:tcW w:w="1795" w:type="dxa"/>
            <w:shd w:val="pct12" w:color="auto" w:fill="auto"/>
          </w:tcPr>
          <w:p w14:paraId="1DD7682D" w14:textId="6ECF107A" w:rsidR="00322DC7" w:rsidRPr="00AB7B5C" w:rsidRDefault="00322DC7" w:rsidP="00127A29">
            <w:pPr>
              <w:jc w:val="center"/>
              <w:rPr>
                <w:rFonts w:cstheme="minorHAnsi"/>
              </w:rPr>
            </w:pPr>
            <w:r w:rsidRPr="00AB7B5C">
              <w:rPr>
                <w:rFonts w:cstheme="minorHAnsi"/>
              </w:rPr>
              <w:t xml:space="preserve">3:00 – 3:50 </w:t>
            </w:r>
          </w:p>
        </w:tc>
        <w:tc>
          <w:tcPr>
            <w:tcW w:w="6660" w:type="dxa"/>
            <w:shd w:val="pct12" w:color="auto" w:fill="auto"/>
          </w:tcPr>
          <w:p w14:paraId="6BC44583" w14:textId="1F59315F" w:rsidR="00322DC7" w:rsidRPr="00AB7B5C" w:rsidRDefault="00322DC7" w:rsidP="00127A29">
            <w:pPr>
              <w:rPr>
                <w:rFonts w:cstheme="minorHAnsi"/>
                <w:b/>
                <w:bCs/>
              </w:rPr>
            </w:pPr>
            <w:r w:rsidRPr="00AB7B5C">
              <w:rPr>
                <w:rFonts w:cstheme="minorHAnsi"/>
                <w:b/>
                <w:bCs/>
              </w:rPr>
              <w:t>Breakout session #4</w:t>
            </w:r>
          </w:p>
        </w:tc>
        <w:tc>
          <w:tcPr>
            <w:tcW w:w="2160" w:type="dxa"/>
            <w:shd w:val="pct12" w:color="auto" w:fill="auto"/>
          </w:tcPr>
          <w:p w14:paraId="47EC41A3" w14:textId="77777777" w:rsidR="00322DC7" w:rsidRPr="00AB7B5C" w:rsidRDefault="00322DC7" w:rsidP="00127A29">
            <w:pPr>
              <w:rPr>
                <w:rFonts w:cstheme="minorHAnsi"/>
              </w:rPr>
            </w:pPr>
          </w:p>
        </w:tc>
      </w:tr>
      <w:tr w:rsidR="00322DC7" w:rsidRPr="00AB7B5C" w14:paraId="4CDFF1FD" w14:textId="0795F28F" w:rsidTr="00127A29">
        <w:tc>
          <w:tcPr>
            <w:tcW w:w="1795" w:type="dxa"/>
          </w:tcPr>
          <w:p w14:paraId="74F99AA3" w14:textId="77777777" w:rsidR="00322DC7" w:rsidRPr="00AB7B5C" w:rsidRDefault="00322DC7" w:rsidP="00127A29">
            <w:pPr>
              <w:jc w:val="center"/>
              <w:rPr>
                <w:rFonts w:cstheme="minorHAnsi"/>
              </w:rPr>
            </w:pPr>
          </w:p>
        </w:tc>
        <w:tc>
          <w:tcPr>
            <w:tcW w:w="6660" w:type="dxa"/>
          </w:tcPr>
          <w:p w14:paraId="3DAF7E91" w14:textId="77777777" w:rsidR="00322DC7" w:rsidRDefault="00322DC7" w:rsidP="00127A29">
            <w:pPr>
              <w:rPr>
                <w:rFonts w:cstheme="minorHAnsi"/>
              </w:rPr>
            </w:pPr>
            <w:r w:rsidRPr="00AB7B5C">
              <w:rPr>
                <w:rFonts w:cstheme="minorHAnsi"/>
              </w:rPr>
              <w:t>Local CFPT/CCPT Team Share Round 2</w:t>
            </w:r>
          </w:p>
          <w:p w14:paraId="26AE4498" w14:textId="69D6A377" w:rsidR="002517D2" w:rsidRPr="002517D2" w:rsidRDefault="002517D2" w:rsidP="002517D2">
            <w:pPr>
              <w:pStyle w:val="ListParagraph"/>
              <w:numPr>
                <w:ilvl w:val="0"/>
                <w:numId w:val="15"/>
              </w:numPr>
              <w:rPr>
                <w:rFonts w:cstheme="minorHAnsi"/>
              </w:rPr>
            </w:pPr>
            <w:r w:rsidRPr="002517D2">
              <w:rPr>
                <w:rFonts w:cstheme="minorHAnsi"/>
              </w:rPr>
              <w:t>Kerry Young, MS, Local Child Fatality Prevention Team Program Coordinator and Debra McHenry, MSW, Administrator, Child Welfare Intensive Review Program, Team Members plus members from local teams!</w:t>
            </w:r>
          </w:p>
        </w:tc>
        <w:tc>
          <w:tcPr>
            <w:tcW w:w="2160" w:type="dxa"/>
          </w:tcPr>
          <w:p w14:paraId="028F41E7" w14:textId="7BF4403D" w:rsidR="00322DC7" w:rsidRPr="00AB7B5C" w:rsidRDefault="004570E8" w:rsidP="00127A29">
            <w:pPr>
              <w:rPr>
                <w:rFonts w:cstheme="minorHAnsi"/>
              </w:rPr>
            </w:pPr>
            <w:r>
              <w:rPr>
                <w:rFonts w:cstheme="minorHAnsi"/>
              </w:rPr>
              <w:t>TBD</w:t>
            </w:r>
          </w:p>
        </w:tc>
      </w:tr>
      <w:tr w:rsidR="00322DC7" w:rsidRPr="00AB7B5C" w14:paraId="22AB76F9" w14:textId="77777777" w:rsidTr="00127A29">
        <w:tc>
          <w:tcPr>
            <w:tcW w:w="1795" w:type="dxa"/>
            <w:shd w:val="clear" w:color="auto" w:fill="auto"/>
          </w:tcPr>
          <w:p w14:paraId="279DCDD2" w14:textId="77777777" w:rsidR="00322DC7" w:rsidRPr="00AB7B5C" w:rsidRDefault="00322DC7" w:rsidP="00127A29">
            <w:pPr>
              <w:jc w:val="center"/>
              <w:rPr>
                <w:rFonts w:cstheme="minorHAnsi"/>
              </w:rPr>
            </w:pPr>
          </w:p>
        </w:tc>
        <w:tc>
          <w:tcPr>
            <w:tcW w:w="6660" w:type="dxa"/>
            <w:shd w:val="clear" w:color="auto" w:fill="auto"/>
          </w:tcPr>
          <w:p w14:paraId="113CC847" w14:textId="11316E6C" w:rsidR="00322DC7" w:rsidRPr="00AB7B5C" w:rsidRDefault="00322DC7" w:rsidP="00127A29">
            <w:pPr>
              <w:rPr>
                <w:rFonts w:cstheme="minorHAnsi"/>
              </w:rPr>
            </w:pPr>
            <w:r w:rsidRPr="00AB7B5C">
              <w:rPr>
                <w:rFonts w:cstheme="minorHAnsi"/>
              </w:rPr>
              <w:t>Dive into Data: Trends, Access, and Review Integration</w:t>
            </w:r>
          </w:p>
          <w:p w14:paraId="6BEDB339" w14:textId="660FF3EE" w:rsidR="00322DC7" w:rsidRPr="002517D2" w:rsidRDefault="002517D2" w:rsidP="0059695B">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2517D2">
              <w:rPr>
                <w:rFonts w:asciiTheme="minorHAnsi" w:hAnsiTheme="minorHAnsi" w:cstheme="minorHAnsi"/>
                <w:sz w:val="22"/>
                <w:szCs w:val="22"/>
              </w:rPr>
              <w:t xml:space="preserve">Scott </w:t>
            </w:r>
            <w:proofErr w:type="spellStart"/>
            <w:r w:rsidRPr="002517D2">
              <w:rPr>
                <w:rFonts w:asciiTheme="minorHAnsi" w:hAnsiTheme="minorHAnsi" w:cstheme="minorHAnsi"/>
                <w:sz w:val="22"/>
                <w:szCs w:val="22"/>
              </w:rPr>
              <w:t>Proescholdbell</w:t>
            </w:r>
            <w:proofErr w:type="spellEnd"/>
            <w:r w:rsidRPr="002517D2">
              <w:rPr>
                <w:rFonts w:asciiTheme="minorHAnsi" w:hAnsiTheme="minorHAnsi" w:cstheme="minorHAnsi"/>
                <w:sz w:val="22"/>
                <w:szCs w:val="22"/>
              </w:rPr>
              <w:t>, MPH, Injury Epidemiology, NC Division of Public Health and Kathleen Jones-Vessey, MS, Perinatal Epidemiologist, NC Division of Public Health</w:t>
            </w:r>
          </w:p>
        </w:tc>
        <w:tc>
          <w:tcPr>
            <w:tcW w:w="2160" w:type="dxa"/>
            <w:shd w:val="clear" w:color="auto" w:fill="auto"/>
          </w:tcPr>
          <w:p w14:paraId="6B6173BC" w14:textId="6451585F" w:rsidR="00322DC7" w:rsidRPr="00AB7B5C" w:rsidRDefault="004570E8" w:rsidP="00127A29">
            <w:pPr>
              <w:rPr>
                <w:rFonts w:cstheme="minorHAnsi"/>
              </w:rPr>
            </w:pPr>
            <w:r>
              <w:rPr>
                <w:rFonts w:cstheme="minorHAnsi"/>
              </w:rPr>
              <w:t>TBD</w:t>
            </w:r>
          </w:p>
        </w:tc>
      </w:tr>
      <w:tr w:rsidR="00322DC7" w:rsidRPr="00AB7B5C" w14:paraId="38E78208" w14:textId="4727CA13" w:rsidTr="00127A29">
        <w:tc>
          <w:tcPr>
            <w:tcW w:w="1795" w:type="dxa"/>
            <w:tcBorders>
              <w:bottom w:val="single" w:sz="4" w:space="0" w:color="auto"/>
            </w:tcBorders>
          </w:tcPr>
          <w:p w14:paraId="57A65BAD" w14:textId="77777777" w:rsidR="00322DC7" w:rsidRPr="00AB7B5C" w:rsidRDefault="00322DC7" w:rsidP="00127A29">
            <w:pPr>
              <w:jc w:val="center"/>
              <w:rPr>
                <w:rFonts w:cstheme="minorHAnsi"/>
              </w:rPr>
            </w:pPr>
          </w:p>
        </w:tc>
        <w:tc>
          <w:tcPr>
            <w:tcW w:w="6660" w:type="dxa"/>
            <w:tcBorders>
              <w:bottom w:val="single" w:sz="4" w:space="0" w:color="auto"/>
            </w:tcBorders>
          </w:tcPr>
          <w:p w14:paraId="0BDE54F5" w14:textId="48066670" w:rsidR="00322DC7" w:rsidRPr="00AB7B5C" w:rsidRDefault="008D3104" w:rsidP="00614786">
            <w:pPr>
              <w:spacing w:line="259" w:lineRule="auto"/>
              <w:rPr>
                <w:rFonts w:cstheme="minorHAnsi"/>
              </w:rPr>
            </w:pPr>
            <w:r w:rsidRPr="00AB7B5C">
              <w:rPr>
                <w:rFonts w:cstheme="minorHAnsi"/>
              </w:rPr>
              <w:t>Disguised Dangers: Gummies, Snacks and Supplements</w:t>
            </w:r>
          </w:p>
          <w:p w14:paraId="2417EB1E" w14:textId="6CFB8B1C" w:rsidR="0084685E" w:rsidRPr="002517D2" w:rsidRDefault="002517D2" w:rsidP="00127A29">
            <w:pPr>
              <w:pStyle w:val="ListParagraph"/>
              <w:numPr>
                <w:ilvl w:val="0"/>
                <w:numId w:val="15"/>
              </w:numPr>
              <w:spacing w:after="160" w:line="259" w:lineRule="auto"/>
              <w:rPr>
                <w:rFonts w:cstheme="minorHAnsi"/>
              </w:rPr>
            </w:pPr>
            <w:r w:rsidRPr="002517D2">
              <w:rPr>
                <w:rFonts w:cstheme="minorHAnsi"/>
              </w:rPr>
              <w:t>Dr. Sandra Bishop-Freeman, Ph.D. F-ABFT, Deputy Chief Toxicologist, Division of Public Health, Office of the Chief Medical Examiner</w:t>
            </w:r>
          </w:p>
        </w:tc>
        <w:tc>
          <w:tcPr>
            <w:tcW w:w="2160" w:type="dxa"/>
            <w:tcBorders>
              <w:bottom w:val="single" w:sz="4" w:space="0" w:color="auto"/>
            </w:tcBorders>
          </w:tcPr>
          <w:p w14:paraId="564890CA" w14:textId="1FB82A3A" w:rsidR="00322DC7" w:rsidRPr="00AB7B5C" w:rsidRDefault="004570E8" w:rsidP="00127A29">
            <w:pPr>
              <w:rPr>
                <w:rFonts w:cstheme="minorHAnsi"/>
              </w:rPr>
            </w:pPr>
            <w:r>
              <w:rPr>
                <w:rFonts w:cstheme="minorHAnsi"/>
              </w:rPr>
              <w:t>TBD</w:t>
            </w:r>
          </w:p>
        </w:tc>
      </w:tr>
      <w:tr w:rsidR="00322DC7" w:rsidRPr="00AB7B5C" w14:paraId="7D2BF141" w14:textId="77777777" w:rsidTr="00127A29">
        <w:tc>
          <w:tcPr>
            <w:tcW w:w="1795" w:type="dxa"/>
            <w:tcBorders>
              <w:bottom w:val="single" w:sz="4" w:space="0" w:color="auto"/>
            </w:tcBorders>
          </w:tcPr>
          <w:p w14:paraId="2050BEB6" w14:textId="77777777" w:rsidR="00322DC7" w:rsidRPr="00AB7B5C" w:rsidRDefault="00322DC7" w:rsidP="00127A29">
            <w:pPr>
              <w:jc w:val="center"/>
              <w:rPr>
                <w:rFonts w:cstheme="minorHAnsi"/>
              </w:rPr>
            </w:pPr>
          </w:p>
        </w:tc>
        <w:tc>
          <w:tcPr>
            <w:tcW w:w="6660" w:type="dxa"/>
            <w:tcBorders>
              <w:bottom w:val="single" w:sz="4" w:space="0" w:color="auto"/>
            </w:tcBorders>
          </w:tcPr>
          <w:p w14:paraId="580FE059" w14:textId="77777777" w:rsidR="00322DC7" w:rsidRDefault="00322DC7" w:rsidP="00614786">
            <w:pPr>
              <w:spacing w:line="259" w:lineRule="auto"/>
              <w:rPr>
                <w:rStyle w:val="normaltextrun"/>
                <w:rFonts w:cstheme="minorHAnsi"/>
                <w:bdr w:val="none" w:sz="0" w:space="0" w:color="auto" w:frame="1"/>
              </w:rPr>
            </w:pPr>
            <w:r w:rsidRPr="00AB7B5C">
              <w:rPr>
                <w:rStyle w:val="normaltextrun"/>
                <w:rFonts w:cstheme="minorHAnsi"/>
                <w:bdr w:val="none" w:sz="0" w:space="0" w:color="auto" w:frame="1"/>
              </w:rPr>
              <w:t>Infant Death Review and Prevention Strategies</w:t>
            </w:r>
            <w:r w:rsidR="0084685E" w:rsidRPr="00AB7B5C">
              <w:rPr>
                <w:rStyle w:val="normaltextrun"/>
                <w:rFonts w:cstheme="minorHAnsi"/>
                <w:bdr w:val="none" w:sz="0" w:space="0" w:color="auto" w:frame="1"/>
              </w:rPr>
              <w:t xml:space="preserve"> (REPEAT)</w:t>
            </w:r>
          </w:p>
          <w:p w14:paraId="54B10284" w14:textId="0CCC85CA" w:rsidR="002517D2" w:rsidRPr="002517D2" w:rsidRDefault="002517D2" w:rsidP="002517D2">
            <w:pPr>
              <w:pStyle w:val="ListParagraph"/>
              <w:numPr>
                <w:ilvl w:val="0"/>
                <w:numId w:val="15"/>
              </w:numPr>
              <w:spacing w:after="160" w:line="259" w:lineRule="auto"/>
              <w:rPr>
                <w:rFonts w:cstheme="minorHAnsi"/>
              </w:rPr>
            </w:pPr>
            <w:r w:rsidRPr="00AB7B5C">
              <w:rPr>
                <w:rFonts w:cstheme="minorHAnsi"/>
              </w:rPr>
              <w:t>Jessica Johnson, MPH, Coordinator, NC Perinatal Health Equity Collective, NC DHHS</w:t>
            </w:r>
            <w:r>
              <w:rPr>
                <w:rFonts w:cstheme="minorHAnsi"/>
              </w:rPr>
              <w:t>;</w:t>
            </w:r>
            <w:r w:rsidRPr="00AB7B5C">
              <w:rPr>
                <w:rFonts w:cstheme="minorHAnsi"/>
              </w:rPr>
              <w:t xml:space="preserve"> Shelby Weeks, MPH Infant and Community Health Branch Head, NC DHHS, and Susanna Joy, National Center for Fatality Review and Prevention</w:t>
            </w:r>
          </w:p>
        </w:tc>
        <w:tc>
          <w:tcPr>
            <w:tcW w:w="2160" w:type="dxa"/>
            <w:tcBorders>
              <w:bottom w:val="single" w:sz="4" w:space="0" w:color="auto"/>
            </w:tcBorders>
          </w:tcPr>
          <w:p w14:paraId="78A294F3" w14:textId="7738B441" w:rsidR="00322DC7" w:rsidRPr="00AB7B5C" w:rsidRDefault="004570E8" w:rsidP="00127A29">
            <w:pPr>
              <w:rPr>
                <w:rFonts w:cstheme="minorHAnsi"/>
              </w:rPr>
            </w:pPr>
            <w:r>
              <w:rPr>
                <w:rFonts w:cstheme="minorHAnsi"/>
              </w:rPr>
              <w:t>TBD</w:t>
            </w:r>
          </w:p>
        </w:tc>
      </w:tr>
      <w:tr w:rsidR="00322DC7" w:rsidRPr="00AB7B5C" w14:paraId="016415AD" w14:textId="391B8986" w:rsidTr="00127A29">
        <w:tc>
          <w:tcPr>
            <w:tcW w:w="1795" w:type="dxa"/>
            <w:tcBorders>
              <w:bottom w:val="single" w:sz="4" w:space="0" w:color="auto"/>
            </w:tcBorders>
            <w:shd w:val="pct12" w:color="auto" w:fill="auto"/>
          </w:tcPr>
          <w:p w14:paraId="4F6D9E79" w14:textId="15B45A22" w:rsidR="00322DC7" w:rsidRPr="00AB7B5C" w:rsidRDefault="00322DC7" w:rsidP="00127A29">
            <w:pPr>
              <w:jc w:val="center"/>
              <w:rPr>
                <w:rFonts w:cstheme="minorHAnsi"/>
              </w:rPr>
            </w:pPr>
            <w:r w:rsidRPr="00AB7B5C">
              <w:rPr>
                <w:rFonts w:cstheme="minorHAnsi"/>
              </w:rPr>
              <w:t>4:00</w:t>
            </w:r>
          </w:p>
        </w:tc>
        <w:tc>
          <w:tcPr>
            <w:tcW w:w="6660" w:type="dxa"/>
            <w:tcBorders>
              <w:bottom w:val="single" w:sz="4" w:space="0" w:color="auto"/>
            </w:tcBorders>
            <w:shd w:val="pct12" w:color="auto" w:fill="auto"/>
          </w:tcPr>
          <w:p w14:paraId="3B6579D9" w14:textId="75C83FD5" w:rsidR="00322DC7" w:rsidRPr="00AB7B5C" w:rsidRDefault="00322DC7" w:rsidP="00127A29">
            <w:pPr>
              <w:rPr>
                <w:rFonts w:cstheme="minorHAnsi"/>
                <w:b/>
                <w:bCs/>
              </w:rPr>
            </w:pPr>
            <w:r w:rsidRPr="00AB7B5C">
              <w:rPr>
                <w:rFonts w:cstheme="minorHAnsi"/>
                <w:b/>
                <w:bCs/>
              </w:rPr>
              <w:t>Summit Complete / Pinwheel Planting</w:t>
            </w:r>
          </w:p>
        </w:tc>
        <w:tc>
          <w:tcPr>
            <w:tcW w:w="2160" w:type="dxa"/>
            <w:tcBorders>
              <w:bottom w:val="single" w:sz="4" w:space="0" w:color="auto"/>
            </w:tcBorders>
            <w:shd w:val="pct12" w:color="auto" w:fill="auto"/>
          </w:tcPr>
          <w:p w14:paraId="0B20B8F4" w14:textId="77777777" w:rsidR="00322DC7" w:rsidRPr="00AB7B5C" w:rsidRDefault="00322DC7" w:rsidP="00127A29">
            <w:pPr>
              <w:rPr>
                <w:rFonts w:cstheme="minorHAnsi"/>
              </w:rPr>
            </w:pPr>
          </w:p>
        </w:tc>
      </w:tr>
    </w:tbl>
    <w:bookmarkEnd w:id="0"/>
    <w:p w14:paraId="7B116438" w14:textId="3D7265C5" w:rsidR="00F26B3C" w:rsidRPr="00AB7B5C" w:rsidRDefault="00127A29" w:rsidP="00F26B3C">
      <w:pPr>
        <w:jc w:val="center"/>
        <w:rPr>
          <w:rFonts w:cstheme="minorHAnsi"/>
        </w:rPr>
      </w:pPr>
      <w:r w:rsidRPr="00AB7B5C">
        <w:rPr>
          <w:rFonts w:cstheme="minorHAnsi"/>
        </w:rPr>
        <w:br w:type="textWrapping" w:clear="all"/>
      </w:r>
    </w:p>
    <w:p w14:paraId="5E1260E5" w14:textId="021C0D6F" w:rsidR="00836EC9" w:rsidRPr="00AB7B5C" w:rsidRDefault="00836EC9" w:rsidP="00F26B3C">
      <w:pPr>
        <w:jc w:val="center"/>
        <w:rPr>
          <w:rFonts w:cstheme="minorHAnsi"/>
        </w:rPr>
      </w:pPr>
    </w:p>
    <w:p w14:paraId="093BFF71" w14:textId="5DC35AA8" w:rsidR="00836EC9" w:rsidRPr="00AB7B5C" w:rsidRDefault="00836EC9" w:rsidP="00F26B3C">
      <w:pPr>
        <w:jc w:val="center"/>
        <w:rPr>
          <w:rFonts w:cstheme="minorHAnsi"/>
        </w:rPr>
      </w:pPr>
    </w:p>
    <w:p w14:paraId="50CD8CB0" w14:textId="77777777" w:rsidR="00AB5D6D" w:rsidRPr="00AB7B5C" w:rsidRDefault="00AB5D6D" w:rsidP="00836E89">
      <w:pPr>
        <w:rPr>
          <w:rFonts w:cstheme="minorHAnsi"/>
        </w:rPr>
      </w:pPr>
    </w:p>
    <w:sectPr w:rsidR="00AB5D6D" w:rsidRPr="00AB7B5C" w:rsidSect="00322D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E212" w14:textId="77777777" w:rsidR="00C064BD" w:rsidRDefault="00C064BD" w:rsidP="000219C1">
      <w:r>
        <w:separator/>
      </w:r>
    </w:p>
  </w:endnote>
  <w:endnote w:type="continuationSeparator" w:id="0">
    <w:p w14:paraId="0E668ADA" w14:textId="77777777" w:rsidR="00C064BD" w:rsidRDefault="00C064BD" w:rsidP="0002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5677" w14:textId="77777777" w:rsidR="004570E8" w:rsidRDefault="0045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64893"/>
      <w:docPartObj>
        <w:docPartGallery w:val="Page Numbers (Bottom of Page)"/>
        <w:docPartUnique/>
      </w:docPartObj>
    </w:sdtPr>
    <w:sdtEndPr>
      <w:rPr>
        <w:noProof/>
      </w:rPr>
    </w:sdtEndPr>
    <w:sdtContent>
      <w:p w14:paraId="05509ED7" w14:textId="0070CE0D" w:rsidR="000219C1" w:rsidRDefault="00021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E1C6E" w14:textId="77777777" w:rsidR="000219C1" w:rsidRDefault="0002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9074" w14:textId="77777777" w:rsidR="004570E8" w:rsidRDefault="0045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6D34" w14:textId="77777777" w:rsidR="00C064BD" w:rsidRDefault="00C064BD" w:rsidP="000219C1">
      <w:r>
        <w:separator/>
      </w:r>
    </w:p>
  </w:footnote>
  <w:footnote w:type="continuationSeparator" w:id="0">
    <w:p w14:paraId="37F0B94B" w14:textId="77777777" w:rsidR="00C064BD" w:rsidRDefault="00C064BD" w:rsidP="0002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38FD" w14:textId="77777777" w:rsidR="004570E8" w:rsidRDefault="0045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637408"/>
      <w:docPartObj>
        <w:docPartGallery w:val="Watermarks"/>
        <w:docPartUnique/>
      </w:docPartObj>
    </w:sdtPr>
    <w:sdtEndPr/>
    <w:sdtContent>
      <w:p w14:paraId="2F49D961" w14:textId="40D20F81" w:rsidR="004570E8" w:rsidRDefault="007731ED">
        <w:pPr>
          <w:pStyle w:val="Header"/>
        </w:pPr>
        <w:r>
          <w:rPr>
            <w:noProof/>
          </w:rPr>
          <w:pict w14:anchorId="69E18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C9E" w14:textId="77777777" w:rsidR="004570E8" w:rsidRDefault="0045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42B"/>
    <w:multiLevelType w:val="hybridMultilevel"/>
    <w:tmpl w:val="9CE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45E8F"/>
    <w:multiLevelType w:val="hybridMultilevel"/>
    <w:tmpl w:val="3A78790E"/>
    <w:lvl w:ilvl="0" w:tplc="C80C1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1E2"/>
    <w:multiLevelType w:val="hybridMultilevel"/>
    <w:tmpl w:val="CC184E4C"/>
    <w:lvl w:ilvl="0" w:tplc="C80C1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702AC"/>
    <w:multiLevelType w:val="hybridMultilevel"/>
    <w:tmpl w:val="8350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74DD"/>
    <w:multiLevelType w:val="hybridMultilevel"/>
    <w:tmpl w:val="9C9C8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A2922"/>
    <w:multiLevelType w:val="hybridMultilevel"/>
    <w:tmpl w:val="64E4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55B47"/>
    <w:multiLevelType w:val="hybridMultilevel"/>
    <w:tmpl w:val="FC4A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64131"/>
    <w:multiLevelType w:val="hybridMultilevel"/>
    <w:tmpl w:val="5328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46FC"/>
    <w:multiLevelType w:val="hybridMultilevel"/>
    <w:tmpl w:val="020CF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D5EF3"/>
    <w:multiLevelType w:val="hybridMultilevel"/>
    <w:tmpl w:val="9F88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C76EA"/>
    <w:multiLevelType w:val="hybridMultilevel"/>
    <w:tmpl w:val="788E57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53EE7"/>
    <w:multiLevelType w:val="hybridMultilevel"/>
    <w:tmpl w:val="DB668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55DB9"/>
    <w:multiLevelType w:val="hybridMultilevel"/>
    <w:tmpl w:val="8EF82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27E43"/>
    <w:multiLevelType w:val="hybridMultilevel"/>
    <w:tmpl w:val="8EF824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467FAF"/>
    <w:multiLevelType w:val="hybridMultilevel"/>
    <w:tmpl w:val="58C6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877D3"/>
    <w:multiLevelType w:val="hybridMultilevel"/>
    <w:tmpl w:val="8EF824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6B0E61"/>
    <w:multiLevelType w:val="hybridMultilevel"/>
    <w:tmpl w:val="BC94051C"/>
    <w:lvl w:ilvl="0" w:tplc="C80C1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05474">
    <w:abstractNumId w:val="11"/>
  </w:num>
  <w:num w:numId="2" w16cid:durableId="2027780347">
    <w:abstractNumId w:val="4"/>
  </w:num>
  <w:num w:numId="3" w16cid:durableId="902250887">
    <w:abstractNumId w:val="8"/>
  </w:num>
  <w:num w:numId="4" w16cid:durableId="736635570">
    <w:abstractNumId w:val="12"/>
  </w:num>
  <w:num w:numId="5" w16cid:durableId="689525263">
    <w:abstractNumId w:val="13"/>
  </w:num>
  <w:num w:numId="6" w16cid:durableId="437724848">
    <w:abstractNumId w:val="15"/>
  </w:num>
  <w:num w:numId="7" w16cid:durableId="394666296">
    <w:abstractNumId w:val="6"/>
  </w:num>
  <w:num w:numId="8" w16cid:durableId="2107919742">
    <w:abstractNumId w:val="3"/>
  </w:num>
  <w:num w:numId="9" w16cid:durableId="1056927612">
    <w:abstractNumId w:val="7"/>
  </w:num>
  <w:num w:numId="10" w16cid:durableId="51395052">
    <w:abstractNumId w:val="14"/>
  </w:num>
  <w:num w:numId="11" w16cid:durableId="160392583">
    <w:abstractNumId w:val="10"/>
  </w:num>
  <w:num w:numId="12" w16cid:durableId="1914389432">
    <w:abstractNumId w:val="5"/>
  </w:num>
  <w:num w:numId="13" w16cid:durableId="1917014185">
    <w:abstractNumId w:val="9"/>
  </w:num>
  <w:num w:numId="14" w16cid:durableId="1528910415">
    <w:abstractNumId w:val="0"/>
  </w:num>
  <w:num w:numId="15" w16cid:durableId="2009554245">
    <w:abstractNumId w:val="1"/>
  </w:num>
  <w:num w:numId="16" w16cid:durableId="280184362">
    <w:abstractNumId w:val="16"/>
  </w:num>
  <w:num w:numId="17" w16cid:durableId="136644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3C"/>
    <w:rsid w:val="0000257F"/>
    <w:rsid w:val="000219C1"/>
    <w:rsid w:val="000224E4"/>
    <w:rsid w:val="000255D1"/>
    <w:rsid w:val="00090CE9"/>
    <w:rsid w:val="000E2537"/>
    <w:rsid w:val="00117413"/>
    <w:rsid w:val="00127A29"/>
    <w:rsid w:val="00145A42"/>
    <w:rsid w:val="001465B4"/>
    <w:rsid w:val="001645B8"/>
    <w:rsid w:val="00186FA8"/>
    <w:rsid w:val="002128C4"/>
    <w:rsid w:val="002517D2"/>
    <w:rsid w:val="002F1936"/>
    <w:rsid w:val="00301257"/>
    <w:rsid w:val="00303EA3"/>
    <w:rsid w:val="00322DC7"/>
    <w:rsid w:val="003408CC"/>
    <w:rsid w:val="00386DDB"/>
    <w:rsid w:val="003A3192"/>
    <w:rsid w:val="003D4F9D"/>
    <w:rsid w:val="003D5F37"/>
    <w:rsid w:val="003E2B72"/>
    <w:rsid w:val="00434EF9"/>
    <w:rsid w:val="00443FC9"/>
    <w:rsid w:val="004570E8"/>
    <w:rsid w:val="00496B95"/>
    <w:rsid w:val="00496C2E"/>
    <w:rsid w:val="004B2DDB"/>
    <w:rsid w:val="00561C1E"/>
    <w:rsid w:val="00573979"/>
    <w:rsid w:val="00595545"/>
    <w:rsid w:val="0059695B"/>
    <w:rsid w:val="005A6A01"/>
    <w:rsid w:val="005B59BB"/>
    <w:rsid w:val="00614786"/>
    <w:rsid w:val="0066395F"/>
    <w:rsid w:val="006B7FC5"/>
    <w:rsid w:val="006D3696"/>
    <w:rsid w:val="006E33AD"/>
    <w:rsid w:val="006E65E0"/>
    <w:rsid w:val="006F23F0"/>
    <w:rsid w:val="00732C8C"/>
    <w:rsid w:val="00757277"/>
    <w:rsid w:val="007661FA"/>
    <w:rsid w:val="00767F84"/>
    <w:rsid w:val="007A6087"/>
    <w:rsid w:val="007A74F3"/>
    <w:rsid w:val="007A7C55"/>
    <w:rsid w:val="007D3856"/>
    <w:rsid w:val="00821D59"/>
    <w:rsid w:val="00836E89"/>
    <w:rsid w:val="00836EC9"/>
    <w:rsid w:val="0084685E"/>
    <w:rsid w:val="00864DD4"/>
    <w:rsid w:val="00877596"/>
    <w:rsid w:val="00882ECB"/>
    <w:rsid w:val="00893E18"/>
    <w:rsid w:val="008944C4"/>
    <w:rsid w:val="008D1FB6"/>
    <w:rsid w:val="008D3104"/>
    <w:rsid w:val="008F53D0"/>
    <w:rsid w:val="00904905"/>
    <w:rsid w:val="00957F9F"/>
    <w:rsid w:val="0096420C"/>
    <w:rsid w:val="00966CEA"/>
    <w:rsid w:val="00970FB2"/>
    <w:rsid w:val="00987A7E"/>
    <w:rsid w:val="009C6420"/>
    <w:rsid w:val="009D0632"/>
    <w:rsid w:val="009D4029"/>
    <w:rsid w:val="00A12141"/>
    <w:rsid w:val="00A834AB"/>
    <w:rsid w:val="00AB5D6D"/>
    <w:rsid w:val="00AB7B5C"/>
    <w:rsid w:val="00AF55BF"/>
    <w:rsid w:val="00BD58AA"/>
    <w:rsid w:val="00BE3160"/>
    <w:rsid w:val="00BE3625"/>
    <w:rsid w:val="00BF4FE2"/>
    <w:rsid w:val="00C064BD"/>
    <w:rsid w:val="00C11514"/>
    <w:rsid w:val="00C326B7"/>
    <w:rsid w:val="00C90B2E"/>
    <w:rsid w:val="00CA7469"/>
    <w:rsid w:val="00CC1A9D"/>
    <w:rsid w:val="00CD7F78"/>
    <w:rsid w:val="00CF7416"/>
    <w:rsid w:val="00D330C9"/>
    <w:rsid w:val="00D36461"/>
    <w:rsid w:val="00D63AB3"/>
    <w:rsid w:val="00E23A2D"/>
    <w:rsid w:val="00EC3079"/>
    <w:rsid w:val="00ED605A"/>
    <w:rsid w:val="00EF62AA"/>
    <w:rsid w:val="00F007C7"/>
    <w:rsid w:val="00F26B3C"/>
    <w:rsid w:val="00F35CD4"/>
    <w:rsid w:val="00F41974"/>
    <w:rsid w:val="00F64079"/>
    <w:rsid w:val="00F825D1"/>
    <w:rsid w:val="00FA1BD7"/>
    <w:rsid w:val="00FA29A1"/>
    <w:rsid w:val="00FA42C8"/>
    <w:rsid w:val="00FC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FCC06"/>
  <w15:chartTrackingRefBased/>
  <w15:docId w15:val="{53A13632-3F14-4AD6-9E7B-0A2BD0FE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C55"/>
    <w:pPr>
      <w:ind w:left="720"/>
      <w:contextualSpacing/>
    </w:pPr>
  </w:style>
  <w:style w:type="character" w:styleId="Hyperlink">
    <w:name w:val="Hyperlink"/>
    <w:basedOn w:val="DefaultParagraphFont"/>
    <w:uiPriority w:val="99"/>
    <w:semiHidden/>
    <w:unhideWhenUsed/>
    <w:rsid w:val="0000257F"/>
    <w:rPr>
      <w:color w:val="0563C1"/>
      <w:u w:val="single"/>
    </w:rPr>
  </w:style>
  <w:style w:type="paragraph" w:styleId="Header">
    <w:name w:val="header"/>
    <w:basedOn w:val="Normal"/>
    <w:link w:val="HeaderChar"/>
    <w:uiPriority w:val="99"/>
    <w:unhideWhenUsed/>
    <w:rsid w:val="000219C1"/>
    <w:pPr>
      <w:tabs>
        <w:tab w:val="center" w:pos="4680"/>
        <w:tab w:val="right" w:pos="9360"/>
      </w:tabs>
    </w:pPr>
  </w:style>
  <w:style w:type="character" w:customStyle="1" w:styleId="HeaderChar">
    <w:name w:val="Header Char"/>
    <w:basedOn w:val="DefaultParagraphFont"/>
    <w:link w:val="Header"/>
    <w:uiPriority w:val="99"/>
    <w:rsid w:val="000219C1"/>
  </w:style>
  <w:style w:type="paragraph" w:styleId="Footer">
    <w:name w:val="footer"/>
    <w:basedOn w:val="Normal"/>
    <w:link w:val="FooterChar"/>
    <w:uiPriority w:val="99"/>
    <w:unhideWhenUsed/>
    <w:rsid w:val="000219C1"/>
    <w:pPr>
      <w:tabs>
        <w:tab w:val="center" w:pos="4680"/>
        <w:tab w:val="right" w:pos="9360"/>
      </w:tabs>
    </w:pPr>
  </w:style>
  <w:style w:type="character" w:customStyle="1" w:styleId="FooterChar">
    <w:name w:val="Footer Char"/>
    <w:basedOn w:val="DefaultParagraphFont"/>
    <w:link w:val="Footer"/>
    <w:uiPriority w:val="99"/>
    <w:rsid w:val="000219C1"/>
  </w:style>
  <w:style w:type="paragraph" w:styleId="Revision">
    <w:name w:val="Revision"/>
    <w:hidden/>
    <w:uiPriority w:val="99"/>
    <w:semiHidden/>
    <w:rsid w:val="00F41974"/>
  </w:style>
  <w:style w:type="character" w:customStyle="1" w:styleId="normaltextrun">
    <w:name w:val="normaltextrun"/>
    <w:basedOn w:val="DefaultParagraphFont"/>
    <w:rsid w:val="004B2DDB"/>
  </w:style>
  <w:style w:type="character" w:customStyle="1" w:styleId="eop">
    <w:name w:val="eop"/>
    <w:basedOn w:val="DefaultParagraphFont"/>
    <w:rsid w:val="00FA1BD7"/>
  </w:style>
  <w:style w:type="paragraph" w:customStyle="1" w:styleId="paragraph">
    <w:name w:val="paragraph"/>
    <w:basedOn w:val="Normal"/>
    <w:rsid w:val="00FC0B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4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1512">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sChild>
        <w:div w:id="2040353310">
          <w:marLeft w:val="0"/>
          <w:marRight w:val="0"/>
          <w:marTop w:val="0"/>
          <w:marBottom w:val="0"/>
          <w:divBdr>
            <w:top w:val="none" w:sz="0" w:space="0" w:color="auto"/>
            <w:left w:val="none" w:sz="0" w:space="0" w:color="auto"/>
            <w:bottom w:val="none" w:sz="0" w:space="0" w:color="auto"/>
            <w:right w:val="none" w:sz="0" w:space="0" w:color="auto"/>
          </w:divBdr>
        </w:div>
        <w:div w:id="1954706400">
          <w:marLeft w:val="0"/>
          <w:marRight w:val="0"/>
          <w:marTop w:val="0"/>
          <w:marBottom w:val="0"/>
          <w:divBdr>
            <w:top w:val="none" w:sz="0" w:space="0" w:color="auto"/>
            <w:left w:val="none" w:sz="0" w:space="0" w:color="auto"/>
            <w:bottom w:val="none" w:sz="0" w:space="0" w:color="auto"/>
            <w:right w:val="none" w:sz="0" w:space="0" w:color="auto"/>
          </w:divBdr>
        </w:div>
      </w:divsChild>
    </w:div>
    <w:div w:id="1077216580">
      <w:bodyDiv w:val="1"/>
      <w:marLeft w:val="0"/>
      <w:marRight w:val="0"/>
      <w:marTop w:val="0"/>
      <w:marBottom w:val="0"/>
      <w:divBdr>
        <w:top w:val="none" w:sz="0" w:space="0" w:color="auto"/>
        <w:left w:val="none" w:sz="0" w:space="0" w:color="auto"/>
        <w:bottom w:val="none" w:sz="0" w:space="0" w:color="auto"/>
        <w:right w:val="none" w:sz="0" w:space="0" w:color="auto"/>
      </w:divBdr>
    </w:div>
    <w:div w:id="1231309840">
      <w:bodyDiv w:val="1"/>
      <w:marLeft w:val="0"/>
      <w:marRight w:val="0"/>
      <w:marTop w:val="0"/>
      <w:marBottom w:val="0"/>
      <w:divBdr>
        <w:top w:val="none" w:sz="0" w:space="0" w:color="auto"/>
        <w:left w:val="none" w:sz="0" w:space="0" w:color="auto"/>
        <w:bottom w:val="none" w:sz="0" w:space="0" w:color="auto"/>
        <w:right w:val="none" w:sz="0" w:space="0" w:color="auto"/>
      </w:divBdr>
    </w:div>
    <w:div w:id="1873347898">
      <w:bodyDiv w:val="1"/>
      <w:marLeft w:val="0"/>
      <w:marRight w:val="0"/>
      <w:marTop w:val="0"/>
      <w:marBottom w:val="0"/>
      <w:divBdr>
        <w:top w:val="none" w:sz="0" w:space="0" w:color="auto"/>
        <w:left w:val="none" w:sz="0" w:space="0" w:color="auto"/>
        <w:bottom w:val="none" w:sz="0" w:space="0" w:color="auto"/>
        <w:right w:val="none" w:sz="0" w:space="0" w:color="auto"/>
      </w:divBdr>
      <w:divsChild>
        <w:div w:id="1362781479">
          <w:marLeft w:val="0"/>
          <w:marRight w:val="0"/>
          <w:marTop w:val="0"/>
          <w:marBottom w:val="0"/>
          <w:divBdr>
            <w:top w:val="none" w:sz="0" w:space="0" w:color="auto"/>
            <w:left w:val="none" w:sz="0" w:space="0" w:color="auto"/>
            <w:bottom w:val="none" w:sz="0" w:space="0" w:color="auto"/>
            <w:right w:val="none" w:sz="0" w:space="0" w:color="auto"/>
          </w:divBdr>
        </w:div>
        <w:div w:id="81226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06C929212E3479D168851A1FF203E" ma:contentTypeVersion="11" ma:contentTypeDescription="Create a new document." ma:contentTypeScope="" ma:versionID="cfd54332ecc9e80f5299139cb8d1cb62">
  <xsd:schema xmlns:xsd="http://www.w3.org/2001/XMLSchema" xmlns:xs="http://www.w3.org/2001/XMLSchema" xmlns:p="http://schemas.microsoft.com/office/2006/metadata/properties" xmlns:ns2="8359ed1c-8376-40e2-8dca-e94d5095d073" xmlns:ns3="4b5748fa-e0f7-4eb0-aa64-1850ce06aa17" targetNamespace="http://schemas.microsoft.com/office/2006/metadata/properties" ma:root="true" ma:fieldsID="b6d8084b760a690930fafac519d5b148" ns2:_="" ns3:_="">
    <xsd:import namespace="8359ed1c-8376-40e2-8dca-e94d5095d073"/>
    <xsd:import namespace="4b5748fa-e0f7-4eb0-aa64-1850ce06a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9ed1c-8376-40e2-8dca-e94d5095d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748fa-e0f7-4eb0-aa64-1850ce06a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2A317-4761-4557-AC2A-1D4860A01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54EE1-F4EB-4B03-9E00-9FABF92C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9ed1c-8376-40e2-8dca-e94d5095d073"/>
    <ds:schemaRef ds:uri="4b5748fa-e0f7-4eb0-aa64-1850ce06a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9CD02-CD3F-448C-9369-C16F9C3A1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Kella</dc:creator>
  <cp:keywords/>
  <dc:description/>
  <cp:lastModifiedBy>Verbiest, Sarah</cp:lastModifiedBy>
  <cp:revision>2</cp:revision>
  <dcterms:created xsi:type="dcterms:W3CDTF">2023-03-16T19:39:00Z</dcterms:created>
  <dcterms:modified xsi:type="dcterms:W3CDTF">2023-03-16T19:39:00Z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0x01010028106C929212E3479D168851A1FF203E</vt:lpwstr>
  </property>
</Properties>
</file>